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32DA" w:rsidRDefault="00DB32DA" w:rsidP="00BE43EA">
      <w:pPr>
        <w:pStyle w:val="Titre1"/>
        <w:spacing w:before="0"/>
      </w:pPr>
      <w:r>
        <w:t xml:space="preserve">Présentation </w:t>
      </w:r>
    </w:p>
    <w:p w:rsidR="003C43F3" w:rsidRDefault="00690401" w:rsidP="00C50676">
      <w:r>
        <w:rPr>
          <w:noProof/>
        </w:rPr>
        <w:drawing>
          <wp:anchor distT="0" distB="0" distL="114300" distR="114300" simplePos="0" relativeHeight="251653632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71755</wp:posOffset>
            </wp:positionV>
            <wp:extent cx="1723390" cy="1076325"/>
            <wp:effectExtent l="19050" t="0" r="0" b="0"/>
            <wp:wrapTight wrapText="bothSides">
              <wp:wrapPolygon edited="0">
                <wp:start x="-239" y="0"/>
                <wp:lineTo x="-239" y="21409"/>
                <wp:lineTo x="21489" y="21409"/>
                <wp:lineTo x="21489" y="0"/>
                <wp:lineTo x="-239" y="0"/>
              </wp:wrapPolygon>
            </wp:wrapTight>
            <wp:docPr id="5" name="Image 4" descr="enocean alliance solo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nocean alliance solo logo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23390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50676" w:rsidRPr="002B6E63">
        <w:t>Un des premiers buts de la domotique est d’économiser l’énergie, aux côtés des objectifs de confort et de sécurité. Le protocole </w:t>
      </w:r>
      <w:proofErr w:type="spellStart"/>
      <w:r w:rsidR="00C50676" w:rsidRPr="002B6E63">
        <w:rPr>
          <w:b/>
          <w:bdr w:val="none" w:sz="0" w:space="0" w:color="auto" w:frame="1"/>
        </w:rPr>
        <w:t>EnOcean</w:t>
      </w:r>
      <w:proofErr w:type="spellEnd"/>
      <w:r w:rsidR="00C50676" w:rsidRPr="002B6E63">
        <w:t> va plus loin dans cet objectif en minimisant au maximum la consommation de l’appareillage domotique (interrupteurs et récepteurs).</w:t>
      </w:r>
    </w:p>
    <w:p w:rsidR="002B6E63" w:rsidRDefault="00604154" w:rsidP="00C50676">
      <w:pPr>
        <w:pStyle w:val="Titre1"/>
      </w:pPr>
      <w:r>
        <w:t>Les convertisseurs d’énergie</w:t>
      </w:r>
    </w:p>
    <w:p w:rsidR="001E1EB7" w:rsidRPr="007A2A4A" w:rsidRDefault="009F7401" w:rsidP="007A2A4A">
      <w:pPr>
        <w:jc w:val="right"/>
        <w:rPr>
          <w:i/>
        </w:rPr>
      </w:pPr>
      <w:hyperlink r:id="rId8" w:history="1">
        <w:r w:rsidR="001E1EB7" w:rsidRPr="007A2A4A">
          <w:rPr>
            <w:rStyle w:val="Lienhypertexte"/>
            <w:i/>
          </w:rPr>
          <w:t>Voir film part 2</w:t>
        </w:r>
        <w:r w:rsidR="007A2A4A" w:rsidRPr="007A2A4A">
          <w:rPr>
            <w:rStyle w:val="Lienhypertexte"/>
            <w:i/>
          </w:rPr>
          <w:t> :</w:t>
        </w:r>
      </w:hyperlink>
    </w:p>
    <w:p w:rsidR="00C50676" w:rsidRDefault="00C50676" w:rsidP="003C43F3">
      <w:r w:rsidRPr="002B6E63">
        <w:rPr>
          <w:noProof/>
          <w:color w:val="444444"/>
          <w:bdr w:val="none" w:sz="0" w:space="0" w:color="auto" w:frame="1"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margin">
              <wp:posOffset>3571817</wp:posOffset>
            </wp:positionH>
            <wp:positionV relativeFrom="paragraph">
              <wp:posOffset>2540</wp:posOffset>
            </wp:positionV>
            <wp:extent cx="3157220" cy="1524000"/>
            <wp:effectExtent l="0" t="0" r="0" b="0"/>
            <wp:wrapSquare wrapText="bothSides"/>
            <wp:docPr id="12" name="Image 12" descr="Slogan EnOcean : sans fils, sans piles, sans limites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Slogan EnOcean : sans fils, sans piles, sans limites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722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B6E63">
        <w:t>Cette technologie se base sur un concept qui tient en peu de mots : </w:t>
      </w:r>
      <w:r w:rsidRPr="002B6E63">
        <w:rPr>
          <w:b/>
          <w:bdr w:val="none" w:sz="0" w:space="0" w:color="auto" w:frame="1"/>
        </w:rPr>
        <w:t>sans fil, sans pile et sans limite</w:t>
      </w:r>
      <w:r w:rsidRPr="002B6E63">
        <w:t xml:space="preserve">. </w:t>
      </w:r>
    </w:p>
    <w:p w:rsidR="00C50676" w:rsidRPr="002B6E63" w:rsidRDefault="00C50676" w:rsidP="003C43F3">
      <w:r w:rsidRPr="002B6E63">
        <w:t>Elle vise à simplifier à la fois l’installation et la maintenance d’un système domotique.</w:t>
      </w:r>
    </w:p>
    <w:p w:rsidR="009F0AFF" w:rsidRDefault="009F0AFF" w:rsidP="003C43F3"/>
    <w:p w:rsidR="009F0AFF" w:rsidRDefault="00604154" w:rsidP="00604154">
      <w:pPr>
        <w:pStyle w:val="Titre2"/>
        <w:spacing w:before="0"/>
      </w:pPr>
      <w:r>
        <w:t>Energie cinétique</w:t>
      </w:r>
    </w:p>
    <w:p w:rsidR="00C50676" w:rsidRDefault="009F7401" w:rsidP="003C43F3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margin-left:0;margin-top:110.6pt;width:114.4pt;height:15.7pt;z-index:251661824;mso-position-horizontal-relative:margin" wrapcoords="-216 0 -216 21098 21600 21098 21600 0 -216 0" stroked="f">
            <v:textbox inset="0,0,0,0">
              <w:txbxContent>
                <w:p w:rsidR="003C43F3" w:rsidRPr="002B399A" w:rsidRDefault="009F0AFF" w:rsidP="003C43F3">
                  <w:pPr>
                    <w:pStyle w:val="Lgende"/>
                    <w:rPr>
                      <w:noProof/>
                      <w:sz w:val="24"/>
                      <w:szCs w:val="24"/>
                    </w:rPr>
                  </w:pPr>
                  <w:r>
                    <w:t>Générateur</w:t>
                  </w:r>
                  <w:r w:rsidR="003C43F3">
                    <w:t xml:space="preserve"> Piézoélectrique</w:t>
                  </w:r>
                </w:p>
              </w:txbxContent>
            </v:textbox>
            <w10:wrap type="tight" anchorx="margin"/>
          </v:shape>
        </w:pict>
      </w:r>
      <w:r w:rsidR="00604154">
        <w:rPr>
          <w:noProof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106045</wp:posOffset>
            </wp:positionH>
            <wp:positionV relativeFrom="paragraph">
              <wp:posOffset>41910</wp:posOffset>
            </wp:positionV>
            <wp:extent cx="1398270" cy="1407160"/>
            <wp:effectExtent l="19050" t="0" r="0" b="0"/>
            <wp:wrapTight wrapText="bothSides">
              <wp:wrapPolygon edited="0">
                <wp:start x="-294" y="0"/>
                <wp:lineTo x="-294" y="21347"/>
                <wp:lineTo x="21482" y="21347"/>
                <wp:lineTo x="21482" y="0"/>
                <wp:lineTo x="-294" y="0"/>
              </wp:wrapPolygon>
            </wp:wrapTight>
            <wp:docPr id="13" name="Image 13" descr="https://www.enocean.com/typo3temp/GB/csm_ECO_200_white_03_023bf2ef5a_72f79935d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www.enocean.com/typo3temp/GB/csm_ECO_200_white_03_023bf2ef5a_72f79935de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270" cy="140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50676" w:rsidRPr="002B6E63">
        <w:t>Pour relever le défi, les concepteurs de ce protocole ont décidé d’utiliser l’énergie générée par la pression du doigt sur l’interrupteur, c’est la </w:t>
      </w:r>
      <w:r w:rsidR="00C50676" w:rsidRPr="002B6E63">
        <w:rPr>
          <w:b/>
          <w:bdr w:val="none" w:sz="0" w:space="0" w:color="auto" w:frame="1"/>
        </w:rPr>
        <w:t>piézoélectricité</w:t>
      </w:r>
      <w:r w:rsidR="00C50676" w:rsidRPr="002B6E63">
        <w:t xml:space="preserve">. L’exemple le plus courant de cette propriété est l’allume-gaz, qui d’une simple pression d’un doigt génère l’étincelle nécessaire à la flamme. Donc pas besoin de piles dans les émetteurs </w:t>
      </w:r>
      <w:proofErr w:type="spellStart"/>
      <w:r w:rsidR="00C50676" w:rsidRPr="002B6E63">
        <w:t>EnOcean</w:t>
      </w:r>
      <w:proofErr w:type="spellEnd"/>
      <w:r w:rsidR="00C50676" w:rsidRPr="002B6E63">
        <w:t xml:space="preserve">. Ce qui, outre l’aspect économie d’énergie, rend la maintenance plus aisée – et en fait un </w:t>
      </w:r>
      <w:r w:rsidR="002F7EC2" w:rsidRPr="002B6E63">
        <w:t>protocole</w:t>
      </w:r>
      <w:r w:rsidR="00C50676" w:rsidRPr="002B6E63">
        <w:t xml:space="preserve"> de choix pour les bâtiments éco-responsables.</w:t>
      </w:r>
    </w:p>
    <w:p w:rsidR="003C43F3" w:rsidRDefault="003C43F3" w:rsidP="003C43F3"/>
    <w:p w:rsidR="00604154" w:rsidRPr="002B6E63" w:rsidRDefault="00604154" w:rsidP="00604154">
      <w:pPr>
        <w:pStyle w:val="Titre2"/>
        <w:spacing w:before="0"/>
      </w:pPr>
      <w:r>
        <w:t>Energie solaire</w:t>
      </w:r>
      <w:r w:rsidR="00AC5F92">
        <w:t xml:space="preserve"> et thermique</w:t>
      </w:r>
    </w:p>
    <w:p w:rsidR="00C50676" w:rsidRPr="002B6E63" w:rsidRDefault="001E14A2" w:rsidP="003C43F3"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4965065</wp:posOffset>
            </wp:positionH>
            <wp:positionV relativeFrom="paragraph">
              <wp:posOffset>1307465</wp:posOffset>
            </wp:positionV>
            <wp:extent cx="1680210" cy="1449705"/>
            <wp:effectExtent l="19050" t="0" r="0" b="0"/>
            <wp:wrapSquare wrapText="bothSides"/>
            <wp:docPr id="15" name="Image 15" descr="Thermo converter for energy harvesting wireless sens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Thermo converter for energy harvesting wireless sensors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41" t="12137" r="6287" b="11629"/>
                    <a:stretch/>
                  </pic:blipFill>
                  <pic:spPr bwMode="auto">
                    <a:xfrm>
                      <a:off x="0" y="0"/>
                      <a:ext cx="1680210" cy="1449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9F7401">
        <w:rPr>
          <w:noProof/>
        </w:rPr>
        <w:pict>
          <v:shape id="_x0000_s1031" type="#_x0000_t202" style="position:absolute;margin-left:0;margin-top:115.35pt;width:168.75pt;height:12.25pt;z-index:251659776;mso-position-horizontal:left;mso-position-horizontal-relative:margin;mso-position-vertical-relative:text" stroked="f">
            <v:textbox style="mso-next-textbox:#_x0000_s1031" inset="0,0,0,0">
              <w:txbxContent>
                <w:p w:rsidR="003C43F3" w:rsidRPr="00FE55B0" w:rsidRDefault="003C43F3" w:rsidP="003C43F3">
                  <w:pPr>
                    <w:pStyle w:val="Lgende"/>
                    <w:rPr>
                      <w:noProof/>
                      <w:sz w:val="24"/>
                      <w:szCs w:val="24"/>
                    </w:rPr>
                  </w:pPr>
                  <w:proofErr w:type="gramStart"/>
                  <w:r>
                    <w:t>panneau</w:t>
                  </w:r>
                  <w:proofErr w:type="gramEnd"/>
                  <w:r>
                    <w:t xml:space="preserve"> solaire Amorphe</w:t>
                  </w:r>
                </w:p>
              </w:txbxContent>
            </v:textbox>
            <w10:wrap type="square" anchorx="margin"/>
          </v:shape>
        </w:pict>
      </w:r>
      <w:r>
        <w:rPr>
          <w:noProof/>
        </w:rPr>
        <w:drawing>
          <wp:anchor distT="0" distB="0" distL="114300" distR="114300" simplePos="0" relativeHeight="251662848" behindDoc="0" locked="0" layoutInCell="1" allowOverlap="1">
            <wp:simplePos x="0" y="0"/>
            <wp:positionH relativeFrom="column">
              <wp:posOffset>106680</wp:posOffset>
            </wp:positionH>
            <wp:positionV relativeFrom="paragraph">
              <wp:posOffset>79375</wp:posOffset>
            </wp:positionV>
            <wp:extent cx="2374265" cy="1403350"/>
            <wp:effectExtent l="19050" t="0" r="6985" b="0"/>
            <wp:wrapSquare wrapText="bothSides"/>
            <wp:docPr id="3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265" cy="140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50676" w:rsidRPr="002B6E63">
        <w:t xml:space="preserve">Côté récepteurs et capteurs, là aussi tout est mis en œuvre pour rendre le système indépendant des sources d’énergie : </w:t>
      </w:r>
      <w:proofErr w:type="gramStart"/>
      <w:r w:rsidR="00C50676" w:rsidRPr="002B6E63">
        <w:t>ils  sont</w:t>
      </w:r>
      <w:proofErr w:type="gramEnd"/>
      <w:r w:rsidR="00C50676" w:rsidRPr="002B6E63">
        <w:t xml:space="preserve"> alimentés, selon les cas, </w:t>
      </w:r>
      <w:r w:rsidR="00C50676" w:rsidRPr="002B6E63">
        <w:rPr>
          <w:b/>
          <w:bdr w:val="none" w:sz="0" w:space="0" w:color="auto" w:frame="1"/>
        </w:rPr>
        <w:t>par l’énergie solaire ou par l’énergie thermique</w:t>
      </w:r>
      <w:r w:rsidR="00C50676" w:rsidRPr="002B6E63">
        <w:t>. Rien ne se perd, rien ne se crée, tout se transforme ! Et lorsque les conditions ne suffisent pas à garantir la récupération d’énergie, les récepteurs garantissent une consommation minimale au repos.</w:t>
      </w:r>
    </w:p>
    <w:p w:rsidR="002B6E63" w:rsidRDefault="002B6E63" w:rsidP="003C43F3"/>
    <w:p w:rsidR="002B6E63" w:rsidRDefault="002B6E63" w:rsidP="003C43F3"/>
    <w:p w:rsidR="002B6E63" w:rsidRDefault="009F7401" w:rsidP="002B6E63">
      <w:r>
        <w:rPr>
          <w:noProof/>
        </w:rPr>
        <w:pict>
          <v:shape id="_x0000_s1032" type="#_x0000_t202" style="position:absolute;margin-left:385.8pt;margin-top:64.95pt;width:137.5pt;height:13pt;z-index:251660800" stroked="f">
            <v:textbox style="mso-next-textbox:#_x0000_s1032" inset="0,0,0,0">
              <w:txbxContent>
                <w:p w:rsidR="003C43F3" w:rsidRPr="00C3588F" w:rsidRDefault="003C43F3" w:rsidP="003C43F3">
                  <w:pPr>
                    <w:pStyle w:val="Lgende"/>
                    <w:rPr>
                      <w:noProof/>
                      <w:sz w:val="24"/>
                      <w:szCs w:val="24"/>
                    </w:rPr>
                  </w:pPr>
                  <w:r w:rsidRPr="00E91735">
                    <w:t>Convertisseur à effet Peltier</w:t>
                  </w:r>
                </w:p>
              </w:txbxContent>
            </v:textbox>
            <w10:wrap type="square"/>
          </v:shape>
        </w:pict>
      </w:r>
    </w:p>
    <w:p w:rsidR="00E50480" w:rsidRDefault="00E50480">
      <w:pPr>
        <w:spacing w:after="200"/>
        <w:sectPr w:rsidR="00E50480" w:rsidSect="005C551D">
          <w:headerReference w:type="default" r:id="rId14"/>
          <w:footerReference w:type="default" r:id="rId15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E972E7" w:rsidRDefault="00F17153" w:rsidP="00E972E7">
      <w:pPr>
        <w:pStyle w:val="Titre1"/>
      </w:pPr>
      <w:r>
        <w:lastRenderedPageBreak/>
        <w:t xml:space="preserve">Eléments de la technologie </w:t>
      </w:r>
      <w:proofErr w:type="spellStart"/>
      <w:r>
        <w:t>Enocean</w:t>
      </w:r>
      <w:proofErr w:type="spellEnd"/>
    </w:p>
    <w:p w:rsidR="00D562B0" w:rsidRDefault="00F17153" w:rsidP="00D562B0">
      <w:pPr>
        <w:pStyle w:val="Titre2"/>
        <w:spacing w:before="0"/>
      </w:pPr>
      <w:r>
        <w:t>Fréquence</w:t>
      </w:r>
      <w:r w:rsidR="00D562B0">
        <w:t> :</w:t>
      </w:r>
    </w:p>
    <w:p w:rsidR="002B6E63" w:rsidRPr="002B6E63" w:rsidRDefault="00F17153" w:rsidP="00685D69">
      <w:r>
        <w:t>Nous trouvons</w:t>
      </w:r>
      <w:r w:rsidR="002B6E63" w:rsidRPr="002B6E63">
        <w:t xml:space="preserve"> des ondes radios à </w:t>
      </w:r>
      <w:r w:rsidR="002B6E63" w:rsidRPr="00D562B0">
        <w:rPr>
          <w:b/>
        </w:rPr>
        <w:t>868 Mhz</w:t>
      </w:r>
      <w:r w:rsidR="00DE028C">
        <w:t>.</w:t>
      </w:r>
    </w:p>
    <w:p w:rsidR="002B6E63" w:rsidRPr="002B6E63" w:rsidRDefault="00D562B0" w:rsidP="00685D69">
      <w:r>
        <w:t>L’avantage</w:t>
      </w:r>
      <w:r w:rsidR="002B6E63" w:rsidRPr="002B6E63">
        <w:t xml:space="preserve"> de cette fréquence e</w:t>
      </w:r>
      <w:r w:rsidR="002F7EC2">
        <w:t>s</w:t>
      </w:r>
      <w:r w:rsidR="002B6E63" w:rsidRPr="002B6E63">
        <w:t xml:space="preserve">t qu’elle est moins saturée que le </w:t>
      </w:r>
      <w:r w:rsidR="002B6E63" w:rsidRPr="00D562B0">
        <w:rPr>
          <w:b/>
        </w:rPr>
        <w:t>433 Mhz</w:t>
      </w:r>
      <w:r w:rsidR="002B6E63" w:rsidRPr="002B6E63">
        <w:t xml:space="preserve"> tout en offrant une portée satisfaisante (30m en intérieur).</w:t>
      </w:r>
    </w:p>
    <w:p w:rsidR="002B6E63" w:rsidRPr="002B6E63" w:rsidRDefault="002B6E63" w:rsidP="00685D69">
      <w:r w:rsidRPr="002B6E63">
        <w:t xml:space="preserve">En champ libre, on arrive à atteindre une centaine de mètre sans alimentation externe, alors que des technologies comme le Bluetooth ou </w:t>
      </w:r>
      <w:proofErr w:type="spellStart"/>
      <w:r w:rsidRPr="002B6E63">
        <w:t>WiFi</w:t>
      </w:r>
      <w:proofErr w:type="spellEnd"/>
      <w:r w:rsidRPr="002B6E63">
        <w:t xml:space="preserve"> sont très énergivores pour des performances identiques :</w:t>
      </w:r>
    </w:p>
    <w:p w:rsidR="002B6E63" w:rsidRDefault="00B9470D" w:rsidP="00F17153">
      <w:r>
        <w:object w:dxaOrig="14686" w:dyaOrig="7489">
          <v:shape id="_x0000_i1028" type="#_x0000_t75" style="width:522.8pt;height:265.75pt" o:ole="">
            <v:imagedata r:id="rId16" o:title=""/>
          </v:shape>
          <o:OLEObject Type="Embed" ProgID="Visio.Drawing.11" ShapeID="_x0000_i1028" DrawAspect="Content" ObjectID="_1619421720" r:id="rId17"/>
        </w:object>
      </w:r>
    </w:p>
    <w:p w:rsidR="00F17153" w:rsidRDefault="00F17153" w:rsidP="00F17153">
      <w:r>
        <w:t>Afin d’augmenter la portée, il est possible de placer jusqu’à 2 répéteurs entre l’émetteur et le récepteur.</w:t>
      </w:r>
    </w:p>
    <w:p w:rsidR="00342FD5" w:rsidRDefault="00F17153" w:rsidP="00342FD5">
      <w:pPr>
        <w:pStyle w:val="Titre2"/>
      </w:pPr>
      <w:r>
        <w:t>Interopérabilité</w:t>
      </w:r>
    </w:p>
    <w:p w:rsidR="00F17153" w:rsidRDefault="00E535CF" w:rsidP="00F17153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387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220980</wp:posOffset>
            </wp:positionV>
            <wp:extent cx="1828800" cy="1386840"/>
            <wp:effectExtent l="19050" t="0" r="0" b="0"/>
            <wp:wrapSquare wrapText="bothSides"/>
            <wp:docPr id="6" name="Image 5" descr="What-is-the-difference-between-unidirectional-and-bidirectional-communication1-300x2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-is-the-difference-between-unidirectional-and-bidirectional-communication1-300x227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386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17153">
        <w:t>C</w:t>
      </w:r>
      <w:r w:rsidR="002B6E63" w:rsidRPr="002B6E63">
        <w:t xml:space="preserve">e protocole est </w:t>
      </w:r>
      <w:r w:rsidR="002B6E63" w:rsidRPr="001E1EB7">
        <w:rPr>
          <w:b/>
        </w:rPr>
        <w:t>totalement ouvert</w:t>
      </w:r>
      <w:r w:rsidR="002B6E63" w:rsidRPr="002B6E63">
        <w:t xml:space="preserve">, ce qui signifie </w:t>
      </w:r>
      <w:r w:rsidR="00F17153">
        <w:t xml:space="preserve">que </w:t>
      </w:r>
      <w:r w:rsidR="00114DC1">
        <w:t>peu</w:t>
      </w:r>
      <w:r w:rsidR="00F17153">
        <w:t xml:space="preserve"> </w:t>
      </w:r>
      <w:bookmarkStart w:id="0" w:name="_GoBack"/>
      <w:bookmarkEnd w:id="0"/>
      <w:r w:rsidR="00F17153">
        <w:t>i</w:t>
      </w:r>
      <w:r w:rsidR="00F17153">
        <w:rPr>
          <w:noProof/>
        </w:rPr>
        <w:t>mporte les fabricants de matériels, ceux-ci sont capables d’échanger des données entre eux.</w:t>
      </w:r>
    </w:p>
    <w:p w:rsidR="00690401" w:rsidRDefault="00F17153" w:rsidP="00F17153">
      <w:pPr>
        <w:rPr>
          <w:noProof/>
        </w:rPr>
      </w:pPr>
      <w:r>
        <w:rPr>
          <w:noProof/>
        </w:rPr>
        <w:t>Chaque Produit possède une adresse unique, codée sur 32 bits.</w:t>
      </w:r>
    </w:p>
    <w:p w:rsidR="00F17153" w:rsidRDefault="00F17153" w:rsidP="00F17153">
      <w:pPr>
        <w:rPr>
          <w:noProof/>
        </w:rPr>
      </w:pPr>
      <w:r>
        <w:rPr>
          <w:noProof/>
        </w:rPr>
        <w:t>Les récepteurs ont communication bidirectionnelle.</w:t>
      </w:r>
    </w:p>
    <w:p w:rsidR="00E535CF" w:rsidRDefault="00E535CF" w:rsidP="00F17153"/>
    <w:p w:rsidR="00E535CF" w:rsidRDefault="00E535CF" w:rsidP="00F17153">
      <w:r w:rsidRPr="00E535CF">
        <w:rPr>
          <w:noProof/>
        </w:rPr>
        <w:drawing>
          <wp:anchor distT="0" distB="0" distL="114300" distR="114300" simplePos="0" relativeHeight="251664896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-1270</wp:posOffset>
            </wp:positionV>
            <wp:extent cx="2524125" cy="2447925"/>
            <wp:effectExtent l="19050" t="0" r="0" b="0"/>
            <wp:wrapSquare wrapText="bothSides"/>
            <wp:docPr id="7" name="Obje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5148262" cy="4857750"/>
                      <a:chOff x="2624138" y="803275"/>
                      <a:chExt cx="5148262" cy="4857750"/>
                    </a:xfrm>
                  </a:grpSpPr>
                  <a:grpSp>
                    <a:nvGrpSpPr>
                      <a:cNvPr id="2" name="Groupe 29"/>
                      <a:cNvGrpSpPr>
                        <a:grpSpLocks/>
                      </a:cNvGrpSpPr>
                    </a:nvGrpSpPr>
                    <a:grpSpPr bwMode="auto">
                      <a:xfrm>
                        <a:off x="3244850" y="1192213"/>
                        <a:ext cx="3902075" cy="4146550"/>
                        <a:chOff x="3244850" y="1328738"/>
                        <a:chExt cx="3902075" cy="4146550"/>
                      </a:xfrm>
                    </a:grpSpPr>
                    <a:grpSp>
                      <a:nvGrpSpPr>
                        <a:cNvPr id="3" name="Groupe 28"/>
                        <a:cNvGrpSpPr>
                          <a:grpSpLocks/>
                        </a:cNvGrpSpPr>
                      </a:nvGrpSpPr>
                      <a:grpSpPr bwMode="auto">
                        <a:xfrm>
                          <a:off x="3244850" y="1328738"/>
                          <a:ext cx="3902075" cy="4146550"/>
                          <a:chOff x="3244850" y="1328738"/>
                          <a:chExt cx="3902075" cy="4146550"/>
                        </a:xfrm>
                      </a:grpSpPr>
                      <a:grpSp>
                        <a:nvGrpSpPr>
                          <a:cNvPr id="5" name="Group 3"/>
                          <a:cNvGrpSpPr>
                            <a:grpSpLocks/>
                          </a:cNvGrpSpPr>
                        </a:nvGrpSpPr>
                        <a:grpSpPr bwMode="auto">
                          <a:xfrm>
                            <a:off x="3244850" y="1328738"/>
                            <a:ext cx="3902075" cy="4146550"/>
                            <a:chOff x="1519" y="902"/>
                            <a:chExt cx="2947" cy="3016"/>
                          </a:xfrm>
                        </a:grpSpPr>
                        <a:sp>
                          <a:nvSpPr>
                            <a:cNvPr id="10265" name="Oval 4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1519" y="970"/>
                              <a:ext cx="2947" cy="2948"/>
                            </a:xfrm>
                            <a:prstGeom prst="ellipse">
                              <a:avLst/>
                            </a:prstGeom>
                            <a:solidFill>
                              <a:srgbClr val="C7940D"/>
                            </a:solidFill>
                            <a:ln w="9525">
                              <a:noFill/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 wrap="none" anchor="ctr"/>
                              <a:lstStyle>
                                <a:defPPr>
                                  <a:defRPr lang="de-DE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rebuchet MS" pitchFamily="34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rebuchet MS" pitchFamily="34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rebuchet MS" pitchFamily="34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rebuchet MS" pitchFamily="34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rebuchet MS" pitchFamily="34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Trebuchet MS" pitchFamily="34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Trebuchet MS" pitchFamily="34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Trebuchet MS" pitchFamily="34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Trebuchet MS" pitchFamily="34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fr-FR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10266" name="Oval 5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1803" y="1254"/>
                              <a:ext cx="2380" cy="2380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noFill/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 wrap="none" anchor="ctr"/>
                              <a:lstStyle>
                                <a:defPPr>
                                  <a:defRPr lang="de-DE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rebuchet MS" pitchFamily="34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rebuchet MS" pitchFamily="34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rebuchet MS" pitchFamily="34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rebuchet MS" pitchFamily="34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rebuchet MS" pitchFamily="34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Trebuchet MS" pitchFamily="34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Trebuchet MS" pitchFamily="34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Trebuchet MS" pitchFamily="34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Trebuchet MS" pitchFamily="34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fr-FR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10267" name="Oval 6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1860" y="1310"/>
                              <a:ext cx="2267" cy="2267"/>
                            </a:xfrm>
                            <a:prstGeom prst="ellipse">
                              <a:avLst/>
                            </a:prstGeom>
                            <a:solidFill>
                              <a:srgbClr val="9EB0C9"/>
                            </a:solidFill>
                            <a:ln w="9525">
                              <a:noFill/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 wrap="none" anchor="ctr"/>
                              <a:lstStyle>
                                <a:defPPr>
                                  <a:defRPr lang="de-DE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rebuchet MS" pitchFamily="34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rebuchet MS" pitchFamily="34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rebuchet MS" pitchFamily="34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rebuchet MS" pitchFamily="34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rebuchet MS" pitchFamily="34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Trebuchet MS" pitchFamily="34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Trebuchet MS" pitchFamily="34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Trebuchet MS" pitchFamily="34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Trebuchet MS" pitchFamily="34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fr-FR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10268" name="Oval 7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2540" y="1991"/>
                              <a:ext cx="907" cy="907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 wrap="none" anchor="ctr"/>
                              <a:lstStyle>
                                <a:defPPr>
                                  <a:defRPr lang="de-DE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rebuchet MS" pitchFamily="34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rebuchet MS" pitchFamily="34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rebuchet MS" pitchFamily="34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rebuchet MS" pitchFamily="34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rebuchet MS" pitchFamily="34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Trebuchet MS" pitchFamily="34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Trebuchet MS" pitchFamily="34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Trebuchet MS" pitchFamily="34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Trebuchet MS" pitchFamily="34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fr-FR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10269" name="Line 8"/>
                            <a:cNvSpPr>
                              <a:spLocks noChangeShapeType="1"/>
                            </a:cNvSpPr>
                          </a:nvSpPr>
                          <a:spPr bwMode="auto">
                            <a:xfrm flipH="1">
                              <a:off x="1519" y="2444"/>
                              <a:ext cx="1474" cy="899"/>
                            </a:xfrm>
                            <a:prstGeom prst="line">
                              <a:avLst/>
                            </a:prstGeom>
                            <a:noFill/>
                            <a:ln w="63500">
                              <a:solidFill>
                                <a:schemeClr val="bg1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de-DE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rebuchet MS" pitchFamily="34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rebuchet MS" pitchFamily="34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rebuchet MS" pitchFamily="34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rebuchet MS" pitchFamily="34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rebuchet MS" pitchFamily="34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Trebuchet MS" pitchFamily="34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Trebuchet MS" pitchFamily="34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Trebuchet MS" pitchFamily="34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Trebuchet MS" pitchFamily="34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fr-FR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10270" name="Line 9"/>
                            <a:cNvSpPr>
                              <a:spLocks noChangeShapeType="1"/>
                            </a:cNvSpPr>
                          </a:nvSpPr>
                          <a:spPr bwMode="auto">
                            <a:xfrm>
                              <a:off x="2993" y="2444"/>
                              <a:ext cx="1473" cy="899"/>
                            </a:xfrm>
                            <a:prstGeom prst="line">
                              <a:avLst/>
                            </a:prstGeom>
                            <a:noFill/>
                            <a:ln w="63500">
                              <a:solidFill>
                                <a:schemeClr val="bg1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de-DE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rebuchet MS" pitchFamily="34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rebuchet MS" pitchFamily="34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rebuchet MS" pitchFamily="34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rebuchet MS" pitchFamily="34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rebuchet MS" pitchFamily="34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Trebuchet MS" pitchFamily="34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Trebuchet MS" pitchFamily="34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Trebuchet MS" pitchFamily="34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Trebuchet MS" pitchFamily="34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fr-FR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10271" name="Line 10"/>
                            <a:cNvSpPr>
                              <a:spLocks noChangeShapeType="1"/>
                            </a:cNvSpPr>
                          </a:nvSpPr>
                          <a:spPr bwMode="auto">
                            <a:xfrm flipH="1" flipV="1">
                              <a:off x="2993" y="902"/>
                              <a:ext cx="0" cy="1542"/>
                            </a:xfrm>
                            <a:prstGeom prst="line">
                              <a:avLst/>
                            </a:prstGeom>
                            <a:noFill/>
                            <a:ln w="63500">
                              <a:solidFill>
                                <a:schemeClr val="bg1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de-DE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rebuchet MS" pitchFamily="34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rebuchet MS" pitchFamily="34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rebuchet MS" pitchFamily="34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rebuchet MS" pitchFamily="34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rebuchet MS" pitchFamily="34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Trebuchet MS" pitchFamily="34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Trebuchet MS" pitchFamily="34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Trebuchet MS" pitchFamily="34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Trebuchet MS" pitchFamily="34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fr-FR"/>
                              </a:p>
                            </a:txBody>
                            <a:useSpRect/>
                          </a:txSp>
                        </a:sp>
                      </a:grpSp>
                      <a:sp>
                        <a:nvSpPr>
                          <a:cNvPr id="10262" name="Text Box 13"/>
                          <a:cNvSpPr txBox="1">
                            <a:spLocks noChangeArrowheads="1"/>
                          </a:cNvSpPr>
                        </a:nvSpPr>
                        <a:spPr bwMode="auto">
                          <a:xfrm rot="3580742" flipH="1">
                            <a:off x="5325595" y="2644542"/>
                            <a:ext cx="1403350" cy="3698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 wrap="none">
                              <a:spAutoFit/>
                            </a:bodyPr>
                            <a:lstStyle>
                              <a:defPPr>
                                <a:defRPr lang="de-DE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Trebuchet MS" pitchFamily="34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Trebuchet MS" pitchFamily="34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Trebuchet MS" pitchFamily="34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Trebuchet MS" pitchFamily="34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Trebuchet MS" pitchFamily="34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Trebuchet MS" pitchFamily="34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Trebuchet MS" pitchFamily="34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Trebuchet MS" pitchFamily="34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Trebuchet MS" pitchFamily="34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r>
                                <a:rPr lang="fr-CH">
                                  <a:solidFill>
                                    <a:schemeClr val="bg1"/>
                                  </a:solidFill>
                                </a:rPr>
                                <a:t>Actionneurs</a:t>
                              </a: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0263" name="Text Box 17"/>
                          <a:cNvSpPr txBox="1">
                            <a:spLocks noChangeArrowheads="1"/>
                          </a:cNvSpPr>
                        </a:nvSpPr>
                        <a:spPr bwMode="auto">
                          <a:xfrm rot="-3214800">
                            <a:off x="3782219" y="2605425"/>
                            <a:ext cx="1246187" cy="36988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 wrap="none">
                              <a:spAutoFit/>
                            </a:bodyPr>
                            <a:lstStyle>
                              <a:defPPr>
                                <a:defRPr lang="de-DE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Trebuchet MS" pitchFamily="34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Trebuchet MS" pitchFamily="34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Trebuchet MS" pitchFamily="34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Trebuchet MS" pitchFamily="34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Trebuchet MS" pitchFamily="34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Trebuchet MS" pitchFamily="34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Trebuchet MS" pitchFamily="34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Trebuchet MS" pitchFamily="34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Trebuchet MS" pitchFamily="34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r>
                                <a:rPr lang="fr-CH">
                                  <a:solidFill>
                                    <a:schemeClr val="bg1"/>
                                  </a:solidFill>
                                </a:rPr>
                                <a:t>Emetteurs</a:t>
                              </a: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0264" name="Text Box 22"/>
                          <a:cNvSpPr txBox="1">
                            <a:spLocks noChangeArrowheads="1"/>
                          </a:cNvSpPr>
                        </a:nvSpPr>
                        <a:spPr bwMode="auto">
                          <a:xfrm>
                            <a:off x="4267200" y="4038600"/>
                            <a:ext cx="1957647" cy="6463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>
                              <a:spAutoFit/>
                            </a:bodyPr>
                            <a:lstStyle>
                              <a:defPPr>
                                <a:defRPr lang="de-DE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Trebuchet MS" pitchFamily="34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Trebuchet MS" pitchFamily="34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Trebuchet MS" pitchFamily="34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Trebuchet MS" pitchFamily="34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Trebuchet MS" pitchFamily="34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Trebuchet MS" pitchFamily="34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Trebuchet MS" pitchFamily="34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Trebuchet MS" pitchFamily="34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Trebuchet MS" pitchFamily="34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r>
                                <a:rPr lang="fr-CH">
                                  <a:solidFill>
                                    <a:schemeClr val="bg1"/>
                                  </a:solidFill>
                                </a:rPr>
                                <a:t>Passerelle de communication</a:t>
                              </a:r>
                            </a:p>
                          </a:txBody>
                          <a:useSpRect/>
                        </a:txSp>
                      </a:sp>
                    </a:grpSp>
                    <a:pic>
                      <a:nvPicPr>
                        <a:cNvPr id="4" name="Picture 11"/>
                        <a:cNvPicPr>
                          <a:picLocks noChangeAspect="1" noChangeArrowheads="1"/>
                        </a:cNvPicPr>
                      </a:nvPicPr>
                      <a:blipFill>
                        <a:blip r:embed="rId19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4692650" y="3124200"/>
                          <a:ext cx="1006475" cy="62388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</a:pic>
                  </a:grpSp>
                  <a:pic>
                    <a:nvPicPr>
                      <a:cNvPr id="8199" name="Picture 22" descr="6011000"/>
                      <a:cNvPicPr>
                        <a:picLocks noChangeAspect="1" noChangeArrowheads="1"/>
                      </a:cNvPicPr>
                    </a:nvPicPr>
                    <a:blipFill>
                      <a:blip r:embed="rId20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4953000" y="5029200"/>
                        <a:ext cx="576263" cy="6318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8201" name="Picture 10"/>
                      <a:cNvPicPr>
                        <a:picLocks noChangeAspect="1" noChangeArrowheads="1"/>
                      </a:cNvPicPr>
                    </a:nvPicPr>
                    <a:blipFill>
                      <a:blip r:embed="rId21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6075363" y="1144588"/>
                        <a:ext cx="935037" cy="708025"/>
                      </a:xfrm>
                      <a:prstGeom prst="rect">
                        <a:avLst/>
                      </a:prstGeom>
                      <a:noFill/>
                      <a:ln w="19050" cap="rnd" algn="ctr">
                        <a:noFill/>
                        <a:prstDash val="sysDot"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8202" name="Picture 8" descr="4301"/>
                      <a:cNvPicPr>
                        <a:picLocks noChangeAspect="1" noChangeArrowheads="1"/>
                      </a:cNvPicPr>
                    </a:nvPicPr>
                    <a:blipFill>
                      <a:blip r:embed="rId22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6927850" y="3429000"/>
                        <a:ext cx="844550" cy="7477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8203" name="Picture 11" descr="1151153_B230"/>
                      <a:cNvPicPr>
                        <a:picLocks noChangeAspect="1" noChangeArrowheads="1"/>
                      </a:cNvPicPr>
                    </a:nvPicPr>
                    <a:blipFill>
                      <a:blip r:embed="rId23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4343400" y="803275"/>
                        <a:ext cx="773113" cy="6143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8205" name="Picture 41" descr="STM250"/>
                      <a:cNvPicPr>
                        <a:picLocks noChangeAspect="1" noChangeArrowheads="1"/>
                      </a:cNvPicPr>
                    </a:nvPicPr>
                    <a:blipFill>
                      <a:blip r:embed="rId24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2759075" y="2743200"/>
                        <a:ext cx="919163" cy="6667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8206" name="Picture 62" descr="Funk-Raumtemperaturfühler"/>
                      <a:cNvPicPr>
                        <a:picLocks noChangeAspect="1" noChangeArrowheads="1"/>
                      </a:cNvPicPr>
                    </a:nvPicPr>
                    <a:blipFill>
                      <a:blip r:embed="rId25"/>
                      <a:srcRect/>
                      <a:stretch>
                        <a:fillRect/>
                      </a:stretch>
                    </a:blipFill>
                    <a:spPr bwMode="auto">
                      <a:xfrm rot="20664822">
                        <a:off x="2776538" y="2173288"/>
                        <a:ext cx="733425" cy="635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8207" name="Picture 61" descr="2902_200"/>
                      <a:cNvPicPr>
                        <a:picLocks noChangeAspect="1" noChangeArrowheads="1"/>
                      </a:cNvPicPr>
                    </a:nvPicPr>
                    <a:blipFill>
                      <a:blip r:embed="rId26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3576638" y="1066800"/>
                        <a:ext cx="766762" cy="5397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10255" name="Picture 30"/>
                      <a:cNvPicPr>
                        <a:picLocks noChangeAspect="1" noChangeArrowheads="1"/>
                      </a:cNvPicPr>
                    </a:nvPicPr>
                    <a:blipFill>
                      <a:blip r:embed="rId27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6772275" y="2205038"/>
                        <a:ext cx="919163" cy="6905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10256" name="Image 30" descr="EasySens Window.jpg"/>
                      <a:cNvPicPr>
                        <a:picLocks noChangeAspect="1"/>
                      </a:cNvPicPr>
                    </a:nvPicPr>
                    <a:blipFill>
                      <a:blip r:embed="rId28"/>
                      <a:srcRect l="16258" t="29147" r="20592" b="29997"/>
                      <a:stretch>
                        <a:fillRect/>
                      </a:stretch>
                    </a:blipFill>
                    <a:spPr bwMode="auto">
                      <a:xfrm>
                        <a:off x="2624138" y="3429000"/>
                        <a:ext cx="931862" cy="7858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8204" name="Picture 4"/>
                      <a:cNvPicPr>
                        <a:picLocks noChangeAspect="1" noChangeArrowheads="1"/>
                      </a:cNvPicPr>
                    </a:nvPicPr>
                    <a:blipFill>
                      <a:blip r:embed="rId29"/>
                      <a:srcRect/>
                      <a:stretch>
                        <a:fillRect/>
                      </a:stretch>
                    </a:blipFill>
                    <a:spPr bwMode="auto">
                      <a:xfrm rot="1028206">
                        <a:off x="3214688" y="1514475"/>
                        <a:ext cx="571500" cy="7556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</lc:lockedCanvas>
              </a:graphicData>
            </a:graphic>
          </wp:anchor>
        </w:drawing>
      </w:r>
    </w:p>
    <w:p w:rsidR="00E535CF" w:rsidRDefault="00E535CF" w:rsidP="00F17153"/>
    <w:p w:rsidR="00E535CF" w:rsidRPr="002B6E63" w:rsidRDefault="00E535CF" w:rsidP="00F17153"/>
    <w:p w:rsidR="002B6E63" w:rsidRPr="002B6E63" w:rsidRDefault="002B6E63" w:rsidP="00685D69">
      <w:r w:rsidRPr="002B6E63">
        <w:t xml:space="preserve">Fondé en 2001 en partenariat avec la société Siemens, la technologie </w:t>
      </w:r>
      <w:proofErr w:type="spellStart"/>
      <w:r w:rsidRPr="002B6E63">
        <w:t>EnOcean</w:t>
      </w:r>
      <w:proofErr w:type="spellEnd"/>
      <w:r w:rsidRPr="002B6E63">
        <w:t xml:space="preserve"> n’a cessé depuis de se développer avec aujourd’hui environ </w:t>
      </w:r>
      <w:r w:rsidRPr="00DE028C">
        <w:rPr>
          <w:b/>
        </w:rPr>
        <w:t>1150 produits compatibles</w:t>
      </w:r>
      <w:r w:rsidR="001E1EB7">
        <w:t xml:space="preserve"> identifiés par l</w:t>
      </w:r>
      <w:r w:rsidR="002F7EC2">
        <w:t>’</w:t>
      </w:r>
      <w:r w:rsidR="002F7EC2" w:rsidRPr="002B6E63">
        <w:t>Alliance</w:t>
      </w:r>
      <w:r w:rsidR="002F7EC2">
        <w:t xml:space="preserve"> </w:t>
      </w:r>
      <w:proofErr w:type="spellStart"/>
      <w:r w:rsidR="001E1EB7">
        <w:t>EnOcean</w:t>
      </w:r>
      <w:proofErr w:type="spellEnd"/>
      <w:r w:rsidR="001E1EB7">
        <w:t>-</w:t>
      </w:r>
      <w:r w:rsidRPr="002B6E63">
        <w:t>.</w:t>
      </w:r>
    </w:p>
    <w:p w:rsidR="002B6E63" w:rsidRPr="002B6E63" w:rsidRDefault="002B6E63" w:rsidP="00685D69">
      <w:r w:rsidRPr="002B6E63">
        <w:t xml:space="preserve">Cette Alliance est en fait un regroupement d’entreprises souhaitant favoriser le développement de ce concept, on y retrouve de grands noms </w:t>
      </w:r>
      <w:r w:rsidR="002F7EC2" w:rsidRPr="002B6E63">
        <w:t>tels</w:t>
      </w:r>
      <w:r w:rsidRPr="002B6E63">
        <w:t xml:space="preserve"> que Texas Instrument, </w:t>
      </w:r>
      <w:proofErr w:type="spellStart"/>
      <w:r w:rsidRPr="002B6E63">
        <w:t>Leviton</w:t>
      </w:r>
      <w:proofErr w:type="spellEnd"/>
      <w:r w:rsidRPr="002B6E63">
        <w:t>, Osram, Siemens …</w:t>
      </w:r>
    </w:p>
    <w:p w:rsidR="00BF51F4" w:rsidRDefault="00BF51F4" w:rsidP="00BF51F4">
      <w:pPr>
        <w:pStyle w:val="Titre1"/>
      </w:pPr>
      <w:r>
        <w:lastRenderedPageBreak/>
        <w:t>Base de la radio transmission</w:t>
      </w:r>
    </w:p>
    <w:p w:rsidR="00BF51F4" w:rsidRDefault="00BF51F4" w:rsidP="00BF51F4">
      <w:pPr>
        <w:pStyle w:val="Titre2"/>
      </w:pPr>
      <w:r>
        <w:t xml:space="preserve">Connaissance des fondamentaux de la radio </w:t>
      </w:r>
    </w:p>
    <w:p w:rsidR="00BF51F4" w:rsidRDefault="00BF51F4" w:rsidP="00BF51F4">
      <w:r>
        <w:rPr>
          <w:noProof/>
        </w:rPr>
        <w:drawing>
          <wp:anchor distT="0" distB="0" distL="114300" distR="114300" simplePos="0" relativeHeight="251665920" behindDoc="0" locked="0" layoutInCell="1" allowOverlap="1">
            <wp:simplePos x="0" y="0"/>
            <wp:positionH relativeFrom="column">
              <wp:posOffset>3762375</wp:posOffset>
            </wp:positionH>
            <wp:positionV relativeFrom="paragraph">
              <wp:posOffset>46990</wp:posOffset>
            </wp:positionV>
            <wp:extent cx="2886075" cy="819150"/>
            <wp:effectExtent l="0" t="0" r="0" b="0"/>
            <wp:wrapSquare wrapText="bothSides"/>
            <wp:docPr id="10" name="Objet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337300" cy="1800225"/>
                      <a:chOff x="395288" y="2565400"/>
                      <a:chExt cx="6337300" cy="1800225"/>
                    </a:xfrm>
                  </a:grpSpPr>
                  <a:sp>
                    <a:nvSpPr>
                      <a:cNvPr id="34820" name="Rectangle 4"/>
                      <a:cNvSpPr>
                        <a:spLocks noChangeArrowheads="1"/>
                      </a:cNvSpPr>
                    </a:nvSpPr>
                    <a:spPr bwMode="auto">
                      <a:xfrm>
                        <a:off x="539750" y="2674938"/>
                        <a:ext cx="6192838" cy="252412"/>
                      </a:xfrm>
                      <a:prstGeom prst="rect">
                        <a:avLst/>
                      </a:prstGeom>
                      <a:solidFill>
                        <a:srgbClr val="97C00E"/>
                      </a:solidFill>
                      <a:ln w="9360" cap="sq">
                        <a:solidFill>
                          <a:srgbClr val="032B5F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GB"/>
                          </a:defPPr>
                          <a:lvl1pPr algn="l" defTabSz="449263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sz="1600" kern="1200">
                              <a:solidFill>
                                <a:schemeClr val="bg1"/>
                              </a:solidFill>
                              <a:latin typeface="Arial" charset="0"/>
                              <a:ea typeface="ＭＳ Ｐゴシック" pitchFamily="32" charset="-128"/>
                              <a:cs typeface="+mn-cs"/>
                            </a:defRPr>
                          </a:lvl1pPr>
                          <a:lvl2pPr marL="742950" indent="-285750" algn="l" defTabSz="449263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sz="1600" kern="1200">
                              <a:solidFill>
                                <a:schemeClr val="bg1"/>
                              </a:solidFill>
                              <a:latin typeface="Arial" charset="0"/>
                              <a:ea typeface="ＭＳ Ｐゴシック" pitchFamily="32" charset="-128"/>
                              <a:cs typeface="+mn-cs"/>
                            </a:defRPr>
                          </a:lvl2pPr>
                          <a:lvl3pPr marL="1143000" indent="-228600" algn="l" defTabSz="449263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sz="1600" kern="1200">
                              <a:solidFill>
                                <a:schemeClr val="bg1"/>
                              </a:solidFill>
                              <a:latin typeface="Arial" charset="0"/>
                              <a:ea typeface="ＭＳ Ｐゴシック" pitchFamily="32" charset="-128"/>
                              <a:cs typeface="+mn-cs"/>
                            </a:defRPr>
                          </a:lvl3pPr>
                          <a:lvl4pPr marL="1600200" indent="-228600" algn="l" defTabSz="449263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sz="1600" kern="1200">
                              <a:solidFill>
                                <a:schemeClr val="bg1"/>
                              </a:solidFill>
                              <a:latin typeface="Arial" charset="0"/>
                              <a:ea typeface="ＭＳ Ｐゴシック" pitchFamily="32" charset="-128"/>
                              <a:cs typeface="+mn-cs"/>
                            </a:defRPr>
                          </a:lvl4pPr>
                          <a:lvl5pPr marL="2057400" indent="-228600" algn="l" defTabSz="449263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sz="1600" kern="1200">
                              <a:solidFill>
                                <a:schemeClr val="bg1"/>
                              </a:solidFill>
                              <a:latin typeface="Arial" charset="0"/>
                              <a:ea typeface="ＭＳ Ｐゴシック" pitchFamily="32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600" kern="1200">
                              <a:solidFill>
                                <a:schemeClr val="bg1"/>
                              </a:solidFill>
                              <a:latin typeface="Arial" charset="0"/>
                              <a:ea typeface="ＭＳ Ｐゴシック" pitchFamily="32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600" kern="1200">
                              <a:solidFill>
                                <a:schemeClr val="bg1"/>
                              </a:solidFill>
                              <a:latin typeface="Arial" charset="0"/>
                              <a:ea typeface="ＭＳ Ｐゴシック" pitchFamily="32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600" kern="1200">
                              <a:solidFill>
                                <a:schemeClr val="bg1"/>
                              </a:solidFill>
                              <a:latin typeface="Arial" charset="0"/>
                              <a:ea typeface="ＭＳ Ｐゴシック" pitchFamily="32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600" kern="1200">
                              <a:solidFill>
                                <a:schemeClr val="bg1"/>
                              </a:solidFill>
                              <a:latin typeface="Arial" charset="0"/>
                              <a:ea typeface="ＭＳ Ｐゴシック" pitchFamily="32" charset="-128"/>
                              <a:cs typeface="+mn-cs"/>
                            </a:defRPr>
                          </a:lvl9pPr>
                        </a:lstStyle>
                        <a:p>
                          <a:endParaRPr lang="fr-FR"/>
                        </a:p>
                      </a:txBody>
                      <a:useSpRect/>
                    </a:txSp>
                  </a:sp>
                  <a:sp>
                    <a:nvSpPr>
                      <a:cNvPr id="34821" name="Rectangle 5"/>
                      <a:cNvSpPr>
                        <a:spLocks noChangeArrowheads="1"/>
                      </a:cNvSpPr>
                    </a:nvSpPr>
                    <a:spPr bwMode="auto">
                      <a:xfrm>
                        <a:off x="539750" y="4003675"/>
                        <a:ext cx="6192838" cy="252413"/>
                      </a:xfrm>
                      <a:prstGeom prst="rect">
                        <a:avLst/>
                      </a:prstGeom>
                      <a:solidFill>
                        <a:srgbClr val="97C00E"/>
                      </a:solidFill>
                      <a:ln w="9360" cap="sq">
                        <a:solidFill>
                          <a:srgbClr val="032B5F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GB"/>
                          </a:defPPr>
                          <a:lvl1pPr algn="l" defTabSz="449263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sz="1600" kern="1200">
                              <a:solidFill>
                                <a:schemeClr val="bg1"/>
                              </a:solidFill>
                              <a:latin typeface="Arial" charset="0"/>
                              <a:ea typeface="ＭＳ Ｐゴシック" pitchFamily="32" charset="-128"/>
                              <a:cs typeface="+mn-cs"/>
                            </a:defRPr>
                          </a:lvl1pPr>
                          <a:lvl2pPr marL="742950" indent="-285750" algn="l" defTabSz="449263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sz="1600" kern="1200">
                              <a:solidFill>
                                <a:schemeClr val="bg1"/>
                              </a:solidFill>
                              <a:latin typeface="Arial" charset="0"/>
                              <a:ea typeface="ＭＳ Ｐゴシック" pitchFamily="32" charset="-128"/>
                              <a:cs typeface="+mn-cs"/>
                            </a:defRPr>
                          </a:lvl2pPr>
                          <a:lvl3pPr marL="1143000" indent="-228600" algn="l" defTabSz="449263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sz="1600" kern="1200">
                              <a:solidFill>
                                <a:schemeClr val="bg1"/>
                              </a:solidFill>
                              <a:latin typeface="Arial" charset="0"/>
                              <a:ea typeface="ＭＳ Ｐゴシック" pitchFamily="32" charset="-128"/>
                              <a:cs typeface="+mn-cs"/>
                            </a:defRPr>
                          </a:lvl3pPr>
                          <a:lvl4pPr marL="1600200" indent="-228600" algn="l" defTabSz="449263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sz="1600" kern="1200">
                              <a:solidFill>
                                <a:schemeClr val="bg1"/>
                              </a:solidFill>
                              <a:latin typeface="Arial" charset="0"/>
                              <a:ea typeface="ＭＳ Ｐゴシック" pitchFamily="32" charset="-128"/>
                              <a:cs typeface="+mn-cs"/>
                            </a:defRPr>
                          </a:lvl4pPr>
                          <a:lvl5pPr marL="2057400" indent="-228600" algn="l" defTabSz="449263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sz="1600" kern="1200">
                              <a:solidFill>
                                <a:schemeClr val="bg1"/>
                              </a:solidFill>
                              <a:latin typeface="Arial" charset="0"/>
                              <a:ea typeface="ＭＳ Ｐゴシック" pitchFamily="32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600" kern="1200">
                              <a:solidFill>
                                <a:schemeClr val="bg1"/>
                              </a:solidFill>
                              <a:latin typeface="Arial" charset="0"/>
                              <a:ea typeface="ＭＳ Ｐゴシック" pitchFamily="32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600" kern="1200">
                              <a:solidFill>
                                <a:schemeClr val="bg1"/>
                              </a:solidFill>
                              <a:latin typeface="Arial" charset="0"/>
                              <a:ea typeface="ＭＳ Ｐゴシック" pitchFamily="32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600" kern="1200">
                              <a:solidFill>
                                <a:schemeClr val="bg1"/>
                              </a:solidFill>
                              <a:latin typeface="Arial" charset="0"/>
                              <a:ea typeface="ＭＳ Ｐゴシック" pitchFamily="32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600" kern="1200">
                              <a:solidFill>
                                <a:schemeClr val="bg1"/>
                              </a:solidFill>
                              <a:latin typeface="Arial" charset="0"/>
                              <a:ea typeface="ＭＳ Ｐゴシック" pitchFamily="32" charset="-128"/>
                              <a:cs typeface="+mn-cs"/>
                            </a:defRPr>
                          </a:lvl9pPr>
                        </a:lstStyle>
                        <a:p>
                          <a:endParaRPr lang="fr-FR"/>
                        </a:p>
                      </a:txBody>
                      <a:useSpRect/>
                    </a:txSp>
                  </a:sp>
                  <a:sp>
                    <a:nvSpPr>
                      <a:cNvPr id="34822" name="Oval 6"/>
                      <a:cNvSpPr>
                        <a:spLocks noChangeArrowheads="1"/>
                      </a:cNvSpPr>
                    </a:nvSpPr>
                    <a:spPr bwMode="auto">
                      <a:xfrm>
                        <a:off x="900113" y="2565400"/>
                        <a:ext cx="5616575" cy="1800225"/>
                      </a:xfrm>
                      <a:prstGeom prst="ellipse">
                        <a:avLst/>
                      </a:prstGeom>
                      <a:solidFill>
                        <a:srgbClr val="33CC33">
                          <a:alpha val="25098"/>
                        </a:srgbClr>
                      </a:solidFill>
                      <a:ln w="9360" cap="sq">
                        <a:solidFill>
                          <a:srgbClr val="032B5F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GB"/>
                          </a:defPPr>
                          <a:lvl1pPr algn="l" defTabSz="449263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sz="1600" kern="1200">
                              <a:solidFill>
                                <a:schemeClr val="bg1"/>
                              </a:solidFill>
                              <a:latin typeface="Arial" charset="0"/>
                              <a:ea typeface="ＭＳ Ｐゴシック" pitchFamily="32" charset="-128"/>
                              <a:cs typeface="+mn-cs"/>
                            </a:defRPr>
                          </a:lvl1pPr>
                          <a:lvl2pPr marL="742950" indent="-285750" algn="l" defTabSz="449263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sz="1600" kern="1200">
                              <a:solidFill>
                                <a:schemeClr val="bg1"/>
                              </a:solidFill>
                              <a:latin typeface="Arial" charset="0"/>
                              <a:ea typeface="ＭＳ Ｐゴシック" pitchFamily="32" charset="-128"/>
                              <a:cs typeface="+mn-cs"/>
                            </a:defRPr>
                          </a:lvl2pPr>
                          <a:lvl3pPr marL="1143000" indent="-228600" algn="l" defTabSz="449263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sz="1600" kern="1200">
                              <a:solidFill>
                                <a:schemeClr val="bg1"/>
                              </a:solidFill>
                              <a:latin typeface="Arial" charset="0"/>
                              <a:ea typeface="ＭＳ Ｐゴシック" pitchFamily="32" charset="-128"/>
                              <a:cs typeface="+mn-cs"/>
                            </a:defRPr>
                          </a:lvl3pPr>
                          <a:lvl4pPr marL="1600200" indent="-228600" algn="l" defTabSz="449263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sz="1600" kern="1200">
                              <a:solidFill>
                                <a:schemeClr val="bg1"/>
                              </a:solidFill>
                              <a:latin typeface="Arial" charset="0"/>
                              <a:ea typeface="ＭＳ Ｐゴシック" pitchFamily="32" charset="-128"/>
                              <a:cs typeface="+mn-cs"/>
                            </a:defRPr>
                          </a:lvl4pPr>
                          <a:lvl5pPr marL="2057400" indent="-228600" algn="l" defTabSz="449263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sz="1600" kern="1200">
                              <a:solidFill>
                                <a:schemeClr val="bg1"/>
                              </a:solidFill>
                              <a:latin typeface="Arial" charset="0"/>
                              <a:ea typeface="ＭＳ Ｐゴシック" pitchFamily="32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600" kern="1200">
                              <a:solidFill>
                                <a:schemeClr val="bg1"/>
                              </a:solidFill>
                              <a:latin typeface="Arial" charset="0"/>
                              <a:ea typeface="ＭＳ Ｐゴシック" pitchFamily="32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600" kern="1200">
                              <a:solidFill>
                                <a:schemeClr val="bg1"/>
                              </a:solidFill>
                              <a:latin typeface="Arial" charset="0"/>
                              <a:ea typeface="ＭＳ Ｐゴシック" pitchFamily="32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600" kern="1200">
                              <a:solidFill>
                                <a:schemeClr val="bg1"/>
                              </a:solidFill>
                              <a:latin typeface="Arial" charset="0"/>
                              <a:ea typeface="ＭＳ Ｐゴシック" pitchFamily="32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600" kern="1200">
                              <a:solidFill>
                                <a:schemeClr val="bg1"/>
                              </a:solidFill>
                              <a:latin typeface="Arial" charset="0"/>
                              <a:ea typeface="ＭＳ Ｐゴシック" pitchFamily="32" charset="-128"/>
                              <a:cs typeface="+mn-cs"/>
                            </a:defRPr>
                          </a:lvl9pPr>
                        </a:lstStyle>
                        <a:p>
                          <a:endParaRPr lang="fr-FR"/>
                        </a:p>
                      </a:txBody>
                      <a:useSpRect/>
                    </a:txSp>
                  </a:sp>
                  <a:sp>
                    <a:nvSpPr>
                      <a:cNvPr id="34823" name="Oval 7"/>
                      <a:cNvSpPr>
                        <a:spLocks noChangeArrowheads="1"/>
                      </a:cNvSpPr>
                    </a:nvSpPr>
                    <a:spPr bwMode="auto">
                      <a:xfrm>
                        <a:off x="900113" y="2924175"/>
                        <a:ext cx="2376487" cy="1082675"/>
                      </a:xfrm>
                      <a:prstGeom prst="ellipse">
                        <a:avLst/>
                      </a:prstGeom>
                      <a:solidFill>
                        <a:srgbClr val="FF9900"/>
                      </a:solidFill>
                      <a:ln w="9360" cap="sq">
                        <a:solidFill>
                          <a:srgbClr val="032B5F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GB"/>
                          </a:defPPr>
                          <a:lvl1pPr algn="l" defTabSz="449263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sz="1600" kern="1200">
                              <a:solidFill>
                                <a:schemeClr val="bg1"/>
                              </a:solidFill>
                              <a:latin typeface="Arial" charset="0"/>
                              <a:ea typeface="ＭＳ Ｐゴシック" pitchFamily="32" charset="-128"/>
                              <a:cs typeface="+mn-cs"/>
                            </a:defRPr>
                          </a:lvl1pPr>
                          <a:lvl2pPr marL="742950" indent="-285750" algn="l" defTabSz="449263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sz="1600" kern="1200">
                              <a:solidFill>
                                <a:schemeClr val="bg1"/>
                              </a:solidFill>
                              <a:latin typeface="Arial" charset="0"/>
                              <a:ea typeface="ＭＳ Ｐゴシック" pitchFamily="32" charset="-128"/>
                              <a:cs typeface="+mn-cs"/>
                            </a:defRPr>
                          </a:lvl2pPr>
                          <a:lvl3pPr marL="1143000" indent="-228600" algn="l" defTabSz="449263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sz="1600" kern="1200">
                              <a:solidFill>
                                <a:schemeClr val="bg1"/>
                              </a:solidFill>
                              <a:latin typeface="Arial" charset="0"/>
                              <a:ea typeface="ＭＳ Ｐゴシック" pitchFamily="32" charset="-128"/>
                              <a:cs typeface="+mn-cs"/>
                            </a:defRPr>
                          </a:lvl3pPr>
                          <a:lvl4pPr marL="1600200" indent="-228600" algn="l" defTabSz="449263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sz="1600" kern="1200">
                              <a:solidFill>
                                <a:schemeClr val="bg1"/>
                              </a:solidFill>
                              <a:latin typeface="Arial" charset="0"/>
                              <a:ea typeface="ＭＳ Ｐゴシック" pitchFamily="32" charset="-128"/>
                              <a:cs typeface="+mn-cs"/>
                            </a:defRPr>
                          </a:lvl4pPr>
                          <a:lvl5pPr marL="2057400" indent="-228600" algn="l" defTabSz="449263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sz="1600" kern="1200">
                              <a:solidFill>
                                <a:schemeClr val="bg1"/>
                              </a:solidFill>
                              <a:latin typeface="Arial" charset="0"/>
                              <a:ea typeface="ＭＳ Ｐゴシック" pitchFamily="32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600" kern="1200">
                              <a:solidFill>
                                <a:schemeClr val="bg1"/>
                              </a:solidFill>
                              <a:latin typeface="Arial" charset="0"/>
                              <a:ea typeface="ＭＳ Ｐゴシック" pitchFamily="32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600" kern="1200">
                              <a:solidFill>
                                <a:schemeClr val="bg1"/>
                              </a:solidFill>
                              <a:latin typeface="Arial" charset="0"/>
                              <a:ea typeface="ＭＳ Ｐゴシック" pitchFamily="32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600" kern="1200">
                              <a:solidFill>
                                <a:schemeClr val="bg1"/>
                              </a:solidFill>
                              <a:latin typeface="Arial" charset="0"/>
                              <a:ea typeface="ＭＳ Ｐゴシック" pitchFamily="32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600" kern="1200">
                              <a:solidFill>
                                <a:schemeClr val="bg1"/>
                              </a:solidFill>
                              <a:latin typeface="Arial" charset="0"/>
                              <a:ea typeface="ＭＳ Ｐゴシック" pitchFamily="32" charset="-128"/>
                              <a:cs typeface="+mn-cs"/>
                            </a:defRPr>
                          </a:lvl9pPr>
                        </a:lstStyle>
                        <a:p>
                          <a:endParaRPr lang="fr-FR"/>
                        </a:p>
                      </a:txBody>
                      <a:useSpRect/>
                    </a:txSp>
                  </a:sp>
                  <a:sp>
                    <a:nvSpPr>
                      <a:cNvPr id="34824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95288" y="3644900"/>
                        <a:ext cx="1152525" cy="2762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round/>
                        <a:headEnd/>
                        <a:tailEnd/>
                      </a:ln>
                    </a:spPr>
                    <a:txSp>
                      <a:txBody>
                        <a:bodyPr lIns="90000" tIns="46800" rIns="90000" bIns="46800">
                          <a:spAutoFit/>
                        </a:bodyPr>
                        <a:lstStyle>
                          <a:defPPr>
                            <a:defRPr lang="en-GB"/>
                          </a:defPPr>
                          <a:lvl1pPr algn="l" defTabSz="449263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sz="1600" kern="1200">
                              <a:solidFill>
                                <a:schemeClr val="bg1"/>
                              </a:solidFill>
                              <a:latin typeface="Arial" charset="0"/>
                              <a:ea typeface="ＭＳ Ｐゴシック" pitchFamily="32" charset="-128"/>
                              <a:cs typeface="+mn-cs"/>
                            </a:defRPr>
                          </a:lvl1pPr>
                          <a:lvl2pPr marL="742950" indent="-285750" algn="l" defTabSz="449263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sz="1600" kern="1200">
                              <a:solidFill>
                                <a:schemeClr val="bg1"/>
                              </a:solidFill>
                              <a:latin typeface="Arial" charset="0"/>
                              <a:ea typeface="ＭＳ Ｐゴシック" pitchFamily="32" charset="-128"/>
                              <a:cs typeface="+mn-cs"/>
                            </a:defRPr>
                          </a:lvl2pPr>
                          <a:lvl3pPr marL="1143000" indent="-228600" algn="l" defTabSz="449263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sz="1600" kern="1200">
                              <a:solidFill>
                                <a:schemeClr val="bg1"/>
                              </a:solidFill>
                              <a:latin typeface="Arial" charset="0"/>
                              <a:ea typeface="ＭＳ Ｐゴシック" pitchFamily="32" charset="-128"/>
                              <a:cs typeface="+mn-cs"/>
                            </a:defRPr>
                          </a:lvl3pPr>
                          <a:lvl4pPr marL="1600200" indent="-228600" algn="l" defTabSz="449263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sz="1600" kern="1200">
                              <a:solidFill>
                                <a:schemeClr val="bg1"/>
                              </a:solidFill>
                              <a:latin typeface="Arial" charset="0"/>
                              <a:ea typeface="ＭＳ Ｐゴシック" pitchFamily="32" charset="-128"/>
                              <a:cs typeface="+mn-cs"/>
                            </a:defRPr>
                          </a:lvl4pPr>
                          <a:lvl5pPr marL="2057400" indent="-228600" algn="l" defTabSz="449263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sz="1600" kern="1200">
                              <a:solidFill>
                                <a:schemeClr val="bg1"/>
                              </a:solidFill>
                              <a:latin typeface="Arial" charset="0"/>
                              <a:ea typeface="ＭＳ Ｐゴシック" pitchFamily="32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600" kern="1200">
                              <a:solidFill>
                                <a:schemeClr val="bg1"/>
                              </a:solidFill>
                              <a:latin typeface="Arial" charset="0"/>
                              <a:ea typeface="ＭＳ Ｐゴシック" pitchFamily="32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600" kern="1200">
                              <a:solidFill>
                                <a:schemeClr val="bg1"/>
                              </a:solidFill>
                              <a:latin typeface="Arial" charset="0"/>
                              <a:ea typeface="ＭＳ Ｐゴシック" pitchFamily="32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600" kern="1200">
                              <a:solidFill>
                                <a:schemeClr val="bg1"/>
                              </a:solidFill>
                              <a:latin typeface="Arial" charset="0"/>
                              <a:ea typeface="ＭＳ Ｐゴシック" pitchFamily="32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600" kern="1200">
                              <a:solidFill>
                                <a:schemeClr val="bg1"/>
                              </a:solidFill>
                              <a:latin typeface="Arial" charset="0"/>
                              <a:ea typeface="ＭＳ Ｐゴシック" pitchFamily="32" charset="-128"/>
                              <a:cs typeface="+mn-cs"/>
                            </a:defRPr>
                          </a:lvl9pPr>
                        </a:lstStyle>
                        <a:p>
                          <a:pPr>
                            <a:buClrTx/>
                            <a:buFontTx/>
                            <a:buNone/>
                            <a:tabLst>
                              <a:tab pos="0" algn="l"/>
                              <a:tab pos="447675" algn="l"/>
                              <a:tab pos="896938" algn="l"/>
                              <a:tab pos="1346200" algn="l"/>
                              <a:tab pos="1795463" algn="l"/>
                              <a:tab pos="2244725" algn="l"/>
                              <a:tab pos="2693988" algn="l"/>
                              <a:tab pos="3143250" algn="l"/>
                              <a:tab pos="3592513" algn="l"/>
                              <a:tab pos="4041775" algn="l"/>
                              <a:tab pos="4491038" algn="l"/>
                              <a:tab pos="4940300" algn="l"/>
                              <a:tab pos="5389563" algn="l"/>
                              <a:tab pos="5838825" algn="l"/>
                              <a:tab pos="6288088" algn="l"/>
                              <a:tab pos="6737350" algn="l"/>
                              <a:tab pos="7186613" algn="l"/>
                              <a:tab pos="7635875" algn="l"/>
                              <a:tab pos="8085138" algn="l"/>
                              <a:tab pos="8534400" algn="l"/>
                              <a:tab pos="8983663" algn="l"/>
                            </a:tabLst>
                          </a:pPr>
                          <a:r>
                            <a:rPr lang="fr-FR" sz="1200" b="1">
                              <a:solidFill>
                                <a:srgbClr val="032B5F"/>
                              </a:solidFill>
                            </a:rPr>
                            <a:t>Emetteur Tx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34825" name="Text Box 9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135313" y="3644900"/>
                        <a:ext cx="1165225" cy="2762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round/>
                        <a:headEnd/>
                        <a:tailEnd/>
                      </a:ln>
                    </a:spPr>
                    <a:txSp>
                      <a:txBody>
                        <a:bodyPr wrap="none" lIns="90000" tIns="46800" rIns="90000" bIns="46800">
                          <a:spAutoFit/>
                        </a:bodyPr>
                        <a:lstStyle>
                          <a:defPPr>
                            <a:defRPr lang="en-GB"/>
                          </a:defPPr>
                          <a:lvl1pPr algn="l" defTabSz="449263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sz="1600" kern="1200">
                              <a:solidFill>
                                <a:schemeClr val="bg1"/>
                              </a:solidFill>
                              <a:latin typeface="Arial" charset="0"/>
                              <a:ea typeface="ＭＳ Ｐゴシック" pitchFamily="32" charset="-128"/>
                              <a:cs typeface="+mn-cs"/>
                            </a:defRPr>
                          </a:lvl1pPr>
                          <a:lvl2pPr marL="742950" indent="-285750" algn="l" defTabSz="449263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sz="1600" kern="1200">
                              <a:solidFill>
                                <a:schemeClr val="bg1"/>
                              </a:solidFill>
                              <a:latin typeface="Arial" charset="0"/>
                              <a:ea typeface="ＭＳ Ｐゴシック" pitchFamily="32" charset="-128"/>
                              <a:cs typeface="+mn-cs"/>
                            </a:defRPr>
                          </a:lvl2pPr>
                          <a:lvl3pPr marL="1143000" indent="-228600" algn="l" defTabSz="449263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sz="1600" kern="1200">
                              <a:solidFill>
                                <a:schemeClr val="bg1"/>
                              </a:solidFill>
                              <a:latin typeface="Arial" charset="0"/>
                              <a:ea typeface="ＭＳ Ｐゴシック" pitchFamily="32" charset="-128"/>
                              <a:cs typeface="+mn-cs"/>
                            </a:defRPr>
                          </a:lvl3pPr>
                          <a:lvl4pPr marL="1600200" indent="-228600" algn="l" defTabSz="449263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sz="1600" kern="1200">
                              <a:solidFill>
                                <a:schemeClr val="bg1"/>
                              </a:solidFill>
                              <a:latin typeface="Arial" charset="0"/>
                              <a:ea typeface="ＭＳ Ｐゴシック" pitchFamily="32" charset="-128"/>
                              <a:cs typeface="+mn-cs"/>
                            </a:defRPr>
                          </a:lvl4pPr>
                          <a:lvl5pPr marL="2057400" indent="-228600" algn="l" defTabSz="449263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>
                              <a:srgbClr val="000000"/>
                            </a:buClr>
                            <a:buSzPct val="100000"/>
                            <a:buFont typeface="Times New Roman" pitchFamily="16" charset="0"/>
                            <a:defRPr sz="1600" kern="1200">
                              <a:solidFill>
                                <a:schemeClr val="bg1"/>
                              </a:solidFill>
                              <a:latin typeface="Arial" charset="0"/>
                              <a:ea typeface="ＭＳ Ｐゴシック" pitchFamily="32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600" kern="1200">
                              <a:solidFill>
                                <a:schemeClr val="bg1"/>
                              </a:solidFill>
                              <a:latin typeface="Arial" charset="0"/>
                              <a:ea typeface="ＭＳ Ｐゴシック" pitchFamily="32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600" kern="1200">
                              <a:solidFill>
                                <a:schemeClr val="bg1"/>
                              </a:solidFill>
                              <a:latin typeface="Arial" charset="0"/>
                              <a:ea typeface="ＭＳ Ｐゴシック" pitchFamily="32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600" kern="1200">
                              <a:solidFill>
                                <a:schemeClr val="bg1"/>
                              </a:solidFill>
                              <a:latin typeface="Arial" charset="0"/>
                              <a:ea typeface="ＭＳ Ｐゴシック" pitchFamily="32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600" kern="1200">
                              <a:solidFill>
                                <a:schemeClr val="bg1"/>
                              </a:solidFill>
                              <a:latin typeface="Arial" charset="0"/>
                              <a:ea typeface="ＭＳ Ｐゴシック" pitchFamily="32" charset="-128"/>
                              <a:cs typeface="+mn-cs"/>
                            </a:defRPr>
                          </a:lvl9pPr>
                        </a:lstStyle>
                        <a:p>
                          <a:pPr>
                            <a:buClrTx/>
                            <a:buFontTx/>
                            <a:buNone/>
                            <a:tabLst>
                              <a:tab pos="0" algn="l"/>
                              <a:tab pos="447675" algn="l"/>
                              <a:tab pos="896938" algn="l"/>
                              <a:tab pos="1346200" algn="l"/>
                              <a:tab pos="1795463" algn="l"/>
                              <a:tab pos="2244725" algn="l"/>
                              <a:tab pos="2693988" algn="l"/>
                              <a:tab pos="3143250" algn="l"/>
                              <a:tab pos="3592513" algn="l"/>
                              <a:tab pos="4041775" algn="l"/>
                              <a:tab pos="4491038" algn="l"/>
                              <a:tab pos="4940300" algn="l"/>
                              <a:tab pos="5389563" algn="l"/>
                              <a:tab pos="5838825" algn="l"/>
                              <a:tab pos="6288088" algn="l"/>
                              <a:tab pos="6737350" algn="l"/>
                              <a:tab pos="7186613" algn="l"/>
                              <a:tab pos="7635875" algn="l"/>
                              <a:tab pos="8085138" algn="l"/>
                              <a:tab pos="8534400" algn="l"/>
                              <a:tab pos="8983663" algn="l"/>
                            </a:tabLst>
                          </a:pPr>
                          <a:r>
                            <a:rPr lang="fr-FR" sz="1200" b="1">
                              <a:solidFill>
                                <a:srgbClr val="032B5F"/>
                              </a:solidFill>
                            </a:rPr>
                            <a:t>Récepteur Rx</a:t>
                          </a:r>
                        </a:p>
                      </a:txBody>
                      <a:useSpRect/>
                    </a:txSp>
                  </a:sp>
                  <a:grpSp>
                    <a:nvGrpSpPr>
                      <a:cNvPr id="2" name="Group 10"/>
                      <a:cNvGrpSpPr>
                        <a:grpSpLocks/>
                      </a:cNvGrpSpPr>
                    </a:nvGrpSpPr>
                    <a:grpSpPr bwMode="auto">
                      <a:xfrm>
                        <a:off x="827088" y="3427413"/>
                        <a:ext cx="138112" cy="139700"/>
                        <a:chOff x="521" y="2159"/>
                        <a:chExt cx="87" cy="88"/>
                      </a:xfrm>
                    </a:grpSpPr>
                    <a:sp>
                      <a:nvSpPr>
                        <a:cNvPr id="33808" name="Line 11"/>
                        <a:cNvSpPr>
                          <a:spLocks noChangeShapeType="1"/>
                        </a:cNvSpPr>
                      </a:nvSpPr>
                      <a:spPr bwMode="auto">
                        <a:xfrm>
                          <a:off x="524" y="2160"/>
                          <a:ext cx="80" cy="87"/>
                        </a:xfrm>
                        <a:prstGeom prst="line">
                          <a:avLst/>
                        </a:prstGeom>
                        <a:noFill/>
                        <a:ln w="22320" cap="sq">
                          <a:solidFill>
                            <a:srgbClr val="032B5F"/>
                          </a:solidFill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n-GB"/>
                            </a:defPPr>
                            <a:lvl1pPr algn="l" defTabSz="449263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>
                                <a:srgbClr val="000000"/>
                              </a:buClr>
                              <a:buSzPct val="100000"/>
                              <a:buFont typeface="Times New Roman" pitchFamily="16" charset="0"/>
                              <a:defRPr sz="1600" kern="1200">
                                <a:solidFill>
                                  <a:schemeClr val="bg1"/>
                                </a:solidFill>
                                <a:latin typeface="Arial" charset="0"/>
                                <a:ea typeface="ＭＳ Ｐゴシック" pitchFamily="32" charset="-128"/>
                                <a:cs typeface="+mn-cs"/>
                              </a:defRPr>
                            </a:lvl1pPr>
                            <a:lvl2pPr marL="742950" indent="-285750" algn="l" defTabSz="449263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>
                                <a:srgbClr val="000000"/>
                              </a:buClr>
                              <a:buSzPct val="100000"/>
                              <a:buFont typeface="Times New Roman" pitchFamily="16" charset="0"/>
                              <a:defRPr sz="1600" kern="1200">
                                <a:solidFill>
                                  <a:schemeClr val="bg1"/>
                                </a:solidFill>
                                <a:latin typeface="Arial" charset="0"/>
                                <a:ea typeface="ＭＳ Ｐゴシック" pitchFamily="32" charset="-128"/>
                                <a:cs typeface="+mn-cs"/>
                              </a:defRPr>
                            </a:lvl2pPr>
                            <a:lvl3pPr marL="1143000" indent="-228600" algn="l" defTabSz="449263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>
                                <a:srgbClr val="000000"/>
                              </a:buClr>
                              <a:buSzPct val="100000"/>
                              <a:buFont typeface="Times New Roman" pitchFamily="16" charset="0"/>
                              <a:defRPr sz="1600" kern="1200">
                                <a:solidFill>
                                  <a:schemeClr val="bg1"/>
                                </a:solidFill>
                                <a:latin typeface="Arial" charset="0"/>
                                <a:ea typeface="ＭＳ Ｐゴシック" pitchFamily="32" charset="-128"/>
                                <a:cs typeface="+mn-cs"/>
                              </a:defRPr>
                            </a:lvl3pPr>
                            <a:lvl4pPr marL="1600200" indent="-228600" algn="l" defTabSz="449263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>
                                <a:srgbClr val="000000"/>
                              </a:buClr>
                              <a:buSzPct val="100000"/>
                              <a:buFont typeface="Times New Roman" pitchFamily="16" charset="0"/>
                              <a:defRPr sz="1600" kern="1200">
                                <a:solidFill>
                                  <a:schemeClr val="bg1"/>
                                </a:solidFill>
                                <a:latin typeface="Arial" charset="0"/>
                                <a:ea typeface="ＭＳ Ｐゴシック" pitchFamily="32" charset="-128"/>
                                <a:cs typeface="+mn-cs"/>
                              </a:defRPr>
                            </a:lvl4pPr>
                            <a:lvl5pPr marL="2057400" indent="-228600" algn="l" defTabSz="449263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>
                                <a:srgbClr val="000000"/>
                              </a:buClr>
                              <a:buSzPct val="100000"/>
                              <a:buFont typeface="Times New Roman" pitchFamily="16" charset="0"/>
                              <a:defRPr sz="1600" kern="1200">
                                <a:solidFill>
                                  <a:schemeClr val="bg1"/>
                                </a:solidFill>
                                <a:latin typeface="Arial" charset="0"/>
                                <a:ea typeface="ＭＳ Ｐゴシック" pitchFamily="32" charset="-128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600" kern="1200">
                                <a:solidFill>
                                  <a:schemeClr val="bg1"/>
                                </a:solidFill>
                                <a:latin typeface="Arial" charset="0"/>
                                <a:ea typeface="ＭＳ Ｐゴシック" pitchFamily="32" charset="-128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600" kern="1200">
                                <a:solidFill>
                                  <a:schemeClr val="bg1"/>
                                </a:solidFill>
                                <a:latin typeface="Arial" charset="0"/>
                                <a:ea typeface="ＭＳ Ｐゴシック" pitchFamily="32" charset="-128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600" kern="1200">
                                <a:solidFill>
                                  <a:schemeClr val="bg1"/>
                                </a:solidFill>
                                <a:latin typeface="Arial" charset="0"/>
                                <a:ea typeface="ＭＳ Ｐゴシック" pitchFamily="32" charset="-128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600" kern="1200">
                                <a:solidFill>
                                  <a:schemeClr val="bg1"/>
                                </a:solidFill>
                                <a:latin typeface="Arial" charset="0"/>
                                <a:ea typeface="ＭＳ Ｐゴシック" pitchFamily="32" charset="-128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  <a:sp>
                      <a:nvSpPr>
                        <a:cNvPr id="33809" name="Line 12"/>
                        <a:cNvSpPr>
                          <a:spLocks noChangeShapeType="1"/>
                        </a:cNvSpPr>
                      </a:nvSpPr>
                      <a:spPr bwMode="auto">
                        <a:xfrm flipH="1">
                          <a:off x="520" y="2159"/>
                          <a:ext cx="89" cy="86"/>
                        </a:xfrm>
                        <a:prstGeom prst="line">
                          <a:avLst/>
                        </a:prstGeom>
                        <a:noFill/>
                        <a:ln w="22320" cap="sq">
                          <a:solidFill>
                            <a:srgbClr val="032B5F"/>
                          </a:solidFill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n-GB"/>
                            </a:defPPr>
                            <a:lvl1pPr algn="l" defTabSz="449263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>
                                <a:srgbClr val="000000"/>
                              </a:buClr>
                              <a:buSzPct val="100000"/>
                              <a:buFont typeface="Times New Roman" pitchFamily="16" charset="0"/>
                              <a:defRPr sz="1600" kern="1200">
                                <a:solidFill>
                                  <a:schemeClr val="bg1"/>
                                </a:solidFill>
                                <a:latin typeface="Arial" charset="0"/>
                                <a:ea typeface="ＭＳ Ｐゴシック" pitchFamily="32" charset="-128"/>
                                <a:cs typeface="+mn-cs"/>
                              </a:defRPr>
                            </a:lvl1pPr>
                            <a:lvl2pPr marL="742950" indent="-285750" algn="l" defTabSz="449263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>
                                <a:srgbClr val="000000"/>
                              </a:buClr>
                              <a:buSzPct val="100000"/>
                              <a:buFont typeface="Times New Roman" pitchFamily="16" charset="0"/>
                              <a:defRPr sz="1600" kern="1200">
                                <a:solidFill>
                                  <a:schemeClr val="bg1"/>
                                </a:solidFill>
                                <a:latin typeface="Arial" charset="0"/>
                                <a:ea typeface="ＭＳ Ｐゴシック" pitchFamily="32" charset="-128"/>
                                <a:cs typeface="+mn-cs"/>
                              </a:defRPr>
                            </a:lvl2pPr>
                            <a:lvl3pPr marL="1143000" indent="-228600" algn="l" defTabSz="449263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>
                                <a:srgbClr val="000000"/>
                              </a:buClr>
                              <a:buSzPct val="100000"/>
                              <a:buFont typeface="Times New Roman" pitchFamily="16" charset="0"/>
                              <a:defRPr sz="1600" kern="1200">
                                <a:solidFill>
                                  <a:schemeClr val="bg1"/>
                                </a:solidFill>
                                <a:latin typeface="Arial" charset="0"/>
                                <a:ea typeface="ＭＳ Ｐゴシック" pitchFamily="32" charset="-128"/>
                                <a:cs typeface="+mn-cs"/>
                              </a:defRPr>
                            </a:lvl3pPr>
                            <a:lvl4pPr marL="1600200" indent="-228600" algn="l" defTabSz="449263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>
                                <a:srgbClr val="000000"/>
                              </a:buClr>
                              <a:buSzPct val="100000"/>
                              <a:buFont typeface="Times New Roman" pitchFamily="16" charset="0"/>
                              <a:defRPr sz="1600" kern="1200">
                                <a:solidFill>
                                  <a:schemeClr val="bg1"/>
                                </a:solidFill>
                                <a:latin typeface="Arial" charset="0"/>
                                <a:ea typeface="ＭＳ Ｐゴシック" pitchFamily="32" charset="-128"/>
                                <a:cs typeface="+mn-cs"/>
                              </a:defRPr>
                            </a:lvl4pPr>
                            <a:lvl5pPr marL="2057400" indent="-228600" algn="l" defTabSz="449263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>
                                <a:srgbClr val="000000"/>
                              </a:buClr>
                              <a:buSzPct val="100000"/>
                              <a:buFont typeface="Times New Roman" pitchFamily="16" charset="0"/>
                              <a:defRPr sz="1600" kern="1200">
                                <a:solidFill>
                                  <a:schemeClr val="bg1"/>
                                </a:solidFill>
                                <a:latin typeface="Arial" charset="0"/>
                                <a:ea typeface="ＭＳ Ｐゴシック" pitchFamily="32" charset="-128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600" kern="1200">
                                <a:solidFill>
                                  <a:schemeClr val="bg1"/>
                                </a:solidFill>
                                <a:latin typeface="Arial" charset="0"/>
                                <a:ea typeface="ＭＳ Ｐゴシック" pitchFamily="32" charset="-128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600" kern="1200">
                                <a:solidFill>
                                  <a:schemeClr val="bg1"/>
                                </a:solidFill>
                                <a:latin typeface="Arial" charset="0"/>
                                <a:ea typeface="ＭＳ Ｐゴシック" pitchFamily="32" charset="-128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600" kern="1200">
                                <a:solidFill>
                                  <a:schemeClr val="bg1"/>
                                </a:solidFill>
                                <a:latin typeface="Arial" charset="0"/>
                                <a:ea typeface="ＭＳ Ｐゴシック" pitchFamily="32" charset="-128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600" kern="1200">
                                <a:solidFill>
                                  <a:schemeClr val="bg1"/>
                                </a:solidFill>
                                <a:latin typeface="Arial" charset="0"/>
                                <a:ea typeface="ＭＳ Ｐゴシック" pitchFamily="32" charset="-128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3" name="Group 13"/>
                      <a:cNvGrpSpPr>
                        <a:grpSpLocks/>
                      </a:cNvGrpSpPr>
                    </a:nvGrpSpPr>
                    <a:grpSpPr bwMode="auto">
                      <a:xfrm>
                        <a:off x="3203575" y="3429000"/>
                        <a:ext cx="138113" cy="139700"/>
                        <a:chOff x="2018" y="2160"/>
                        <a:chExt cx="87" cy="88"/>
                      </a:xfrm>
                    </a:grpSpPr>
                    <a:sp>
                      <a:nvSpPr>
                        <a:cNvPr id="33806" name="Line 14"/>
                        <a:cNvSpPr>
                          <a:spLocks noChangeShapeType="1"/>
                        </a:cNvSpPr>
                      </a:nvSpPr>
                      <a:spPr bwMode="auto">
                        <a:xfrm>
                          <a:off x="2021" y="2161"/>
                          <a:ext cx="80" cy="87"/>
                        </a:xfrm>
                        <a:prstGeom prst="line">
                          <a:avLst/>
                        </a:prstGeom>
                        <a:noFill/>
                        <a:ln w="22320" cap="sq">
                          <a:solidFill>
                            <a:srgbClr val="032B5F"/>
                          </a:solidFill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n-GB"/>
                            </a:defPPr>
                            <a:lvl1pPr algn="l" defTabSz="449263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>
                                <a:srgbClr val="000000"/>
                              </a:buClr>
                              <a:buSzPct val="100000"/>
                              <a:buFont typeface="Times New Roman" pitchFamily="16" charset="0"/>
                              <a:defRPr sz="1600" kern="1200">
                                <a:solidFill>
                                  <a:schemeClr val="bg1"/>
                                </a:solidFill>
                                <a:latin typeface="Arial" charset="0"/>
                                <a:ea typeface="ＭＳ Ｐゴシック" pitchFamily="32" charset="-128"/>
                                <a:cs typeface="+mn-cs"/>
                              </a:defRPr>
                            </a:lvl1pPr>
                            <a:lvl2pPr marL="742950" indent="-285750" algn="l" defTabSz="449263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>
                                <a:srgbClr val="000000"/>
                              </a:buClr>
                              <a:buSzPct val="100000"/>
                              <a:buFont typeface="Times New Roman" pitchFamily="16" charset="0"/>
                              <a:defRPr sz="1600" kern="1200">
                                <a:solidFill>
                                  <a:schemeClr val="bg1"/>
                                </a:solidFill>
                                <a:latin typeface="Arial" charset="0"/>
                                <a:ea typeface="ＭＳ Ｐゴシック" pitchFamily="32" charset="-128"/>
                                <a:cs typeface="+mn-cs"/>
                              </a:defRPr>
                            </a:lvl2pPr>
                            <a:lvl3pPr marL="1143000" indent="-228600" algn="l" defTabSz="449263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>
                                <a:srgbClr val="000000"/>
                              </a:buClr>
                              <a:buSzPct val="100000"/>
                              <a:buFont typeface="Times New Roman" pitchFamily="16" charset="0"/>
                              <a:defRPr sz="1600" kern="1200">
                                <a:solidFill>
                                  <a:schemeClr val="bg1"/>
                                </a:solidFill>
                                <a:latin typeface="Arial" charset="0"/>
                                <a:ea typeface="ＭＳ Ｐゴシック" pitchFamily="32" charset="-128"/>
                                <a:cs typeface="+mn-cs"/>
                              </a:defRPr>
                            </a:lvl3pPr>
                            <a:lvl4pPr marL="1600200" indent="-228600" algn="l" defTabSz="449263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>
                                <a:srgbClr val="000000"/>
                              </a:buClr>
                              <a:buSzPct val="100000"/>
                              <a:buFont typeface="Times New Roman" pitchFamily="16" charset="0"/>
                              <a:defRPr sz="1600" kern="1200">
                                <a:solidFill>
                                  <a:schemeClr val="bg1"/>
                                </a:solidFill>
                                <a:latin typeface="Arial" charset="0"/>
                                <a:ea typeface="ＭＳ Ｐゴシック" pitchFamily="32" charset="-128"/>
                                <a:cs typeface="+mn-cs"/>
                              </a:defRPr>
                            </a:lvl4pPr>
                            <a:lvl5pPr marL="2057400" indent="-228600" algn="l" defTabSz="449263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>
                                <a:srgbClr val="000000"/>
                              </a:buClr>
                              <a:buSzPct val="100000"/>
                              <a:buFont typeface="Times New Roman" pitchFamily="16" charset="0"/>
                              <a:defRPr sz="1600" kern="1200">
                                <a:solidFill>
                                  <a:schemeClr val="bg1"/>
                                </a:solidFill>
                                <a:latin typeface="Arial" charset="0"/>
                                <a:ea typeface="ＭＳ Ｐゴシック" pitchFamily="32" charset="-128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600" kern="1200">
                                <a:solidFill>
                                  <a:schemeClr val="bg1"/>
                                </a:solidFill>
                                <a:latin typeface="Arial" charset="0"/>
                                <a:ea typeface="ＭＳ Ｐゴシック" pitchFamily="32" charset="-128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600" kern="1200">
                                <a:solidFill>
                                  <a:schemeClr val="bg1"/>
                                </a:solidFill>
                                <a:latin typeface="Arial" charset="0"/>
                                <a:ea typeface="ＭＳ Ｐゴシック" pitchFamily="32" charset="-128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600" kern="1200">
                                <a:solidFill>
                                  <a:schemeClr val="bg1"/>
                                </a:solidFill>
                                <a:latin typeface="Arial" charset="0"/>
                                <a:ea typeface="ＭＳ Ｐゴシック" pitchFamily="32" charset="-128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600" kern="1200">
                                <a:solidFill>
                                  <a:schemeClr val="bg1"/>
                                </a:solidFill>
                                <a:latin typeface="Arial" charset="0"/>
                                <a:ea typeface="ＭＳ Ｐゴシック" pitchFamily="32" charset="-128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  <a:sp>
                      <a:nvSpPr>
                        <a:cNvPr id="33807" name="Line 15"/>
                        <a:cNvSpPr>
                          <a:spLocks noChangeShapeType="1"/>
                        </a:cNvSpPr>
                      </a:nvSpPr>
                      <a:spPr bwMode="auto">
                        <a:xfrm flipH="1">
                          <a:off x="2017" y="2160"/>
                          <a:ext cx="89" cy="86"/>
                        </a:xfrm>
                        <a:prstGeom prst="line">
                          <a:avLst/>
                        </a:prstGeom>
                        <a:noFill/>
                        <a:ln w="22320" cap="sq">
                          <a:solidFill>
                            <a:srgbClr val="032B5F"/>
                          </a:solidFill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n-GB"/>
                            </a:defPPr>
                            <a:lvl1pPr algn="l" defTabSz="449263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>
                                <a:srgbClr val="000000"/>
                              </a:buClr>
                              <a:buSzPct val="100000"/>
                              <a:buFont typeface="Times New Roman" pitchFamily="16" charset="0"/>
                              <a:defRPr sz="1600" kern="1200">
                                <a:solidFill>
                                  <a:schemeClr val="bg1"/>
                                </a:solidFill>
                                <a:latin typeface="Arial" charset="0"/>
                                <a:ea typeface="ＭＳ Ｐゴシック" pitchFamily="32" charset="-128"/>
                                <a:cs typeface="+mn-cs"/>
                              </a:defRPr>
                            </a:lvl1pPr>
                            <a:lvl2pPr marL="742950" indent="-285750" algn="l" defTabSz="449263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>
                                <a:srgbClr val="000000"/>
                              </a:buClr>
                              <a:buSzPct val="100000"/>
                              <a:buFont typeface="Times New Roman" pitchFamily="16" charset="0"/>
                              <a:defRPr sz="1600" kern="1200">
                                <a:solidFill>
                                  <a:schemeClr val="bg1"/>
                                </a:solidFill>
                                <a:latin typeface="Arial" charset="0"/>
                                <a:ea typeface="ＭＳ Ｐゴシック" pitchFamily="32" charset="-128"/>
                                <a:cs typeface="+mn-cs"/>
                              </a:defRPr>
                            </a:lvl2pPr>
                            <a:lvl3pPr marL="1143000" indent="-228600" algn="l" defTabSz="449263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>
                                <a:srgbClr val="000000"/>
                              </a:buClr>
                              <a:buSzPct val="100000"/>
                              <a:buFont typeface="Times New Roman" pitchFamily="16" charset="0"/>
                              <a:defRPr sz="1600" kern="1200">
                                <a:solidFill>
                                  <a:schemeClr val="bg1"/>
                                </a:solidFill>
                                <a:latin typeface="Arial" charset="0"/>
                                <a:ea typeface="ＭＳ Ｐゴシック" pitchFamily="32" charset="-128"/>
                                <a:cs typeface="+mn-cs"/>
                              </a:defRPr>
                            </a:lvl3pPr>
                            <a:lvl4pPr marL="1600200" indent="-228600" algn="l" defTabSz="449263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>
                                <a:srgbClr val="000000"/>
                              </a:buClr>
                              <a:buSzPct val="100000"/>
                              <a:buFont typeface="Times New Roman" pitchFamily="16" charset="0"/>
                              <a:defRPr sz="1600" kern="1200">
                                <a:solidFill>
                                  <a:schemeClr val="bg1"/>
                                </a:solidFill>
                                <a:latin typeface="Arial" charset="0"/>
                                <a:ea typeface="ＭＳ Ｐゴシック" pitchFamily="32" charset="-128"/>
                                <a:cs typeface="+mn-cs"/>
                              </a:defRPr>
                            </a:lvl4pPr>
                            <a:lvl5pPr marL="2057400" indent="-228600" algn="l" defTabSz="449263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>
                                <a:srgbClr val="000000"/>
                              </a:buClr>
                              <a:buSzPct val="100000"/>
                              <a:buFont typeface="Times New Roman" pitchFamily="16" charset="0"/>
                              <a:defRPr sz="1600" kern="1200">
                                <a:solidFill>
                                  <a:schemeClr val="bg1"/>
                                </a:solidFill>
                                <a:latin typeface="Arial" charset="0"/>
                                <a:ea typeface="ＭＳ Ｐゴシック" pitchFamily="32" charset="-128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600" kern="1200">
                                <a:solidFill>
                                  <a:schemeClr val="bg1"/>
                                </a:solidFill>
                                <a:latin typeface="Arial" charset="0"/>
                                <a:ea typeface="ＭＳ Ｐゴシック" pitchFamily="32" charset="-128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600" kern="1200">
                                <a:solidFill>
                                  <a:schemeClr val="bg1"/>
                                </a:solidFill>
                                <a:latin typeface="Arial" charset="0"/>
                                <a:ea typeface="ＭＳ Ｐゴシック" pitchFamily="32" charset="-128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600" kern="1200">
                                <a:solidFill>
                                  <a:schemeClr val="bg1"/>
                                </a:solidFill>
                                <a:latin typeface="Arial" charset="0"/>
                                <a:ea typeface="ＭＳ Ｐゴシック" pitchFamily="32" charset="-128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600" kern="1200">
                                <a:solidFill>
                                  <a:schemeClr val="bg1"/>
                                </a:solidFill>
                                <a:latin typeface="Arial" charset="0"/>
                                <a:ea typeface="ＭＳ Ｐゴシック" pitchFamily="32" charset="-128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anchor>
        </w:drawing>
      </w:r>
      <w:r>
        <w:t>Les ondes sont émises de façon ellipsoïdale (30 m de Long et 10 m de diamètre) :</w:t>
      </w:r>
    </w:p>
    <w:p w:rsidR="00BF51F4" w:rsidRDefault="00BF51F4" w:rsidP="00BF51F4">
      <w:r w:rsidRPr="00BF51F4">
        <w:t>Les cas les plus défavorables sont des passages étroits avec des murs épais</w:t>
      </w:r>
      <w:r>
        <w:t>.</w:t>
      </w:r>
    </w:p>
    <w:p w:rsidR="00BF51F4" w:rsidRDefault="00BF51F4" w:rsidP="00BF51F4">
      <w:r>
        <w:t xml:space="preserve">Respect de la portée : 30 m dans un bâtiment, ce qui implique de positionner de </w:t>
      </w:r>
      <w:proofErr w:type="gramStart"/>
      <w:r>
        <w:t>façon adapté</w:t>
      </w:r>
      <w:proofErr w:type="gramEnd"/>
      <w:r>
        <w:t xml:space="preserve"> des émetteurs et récepteurs.</w:t>
      </w:r>
    </w:p>
    <w:p w:rsidR="00BF51F4" w:rsidRDefault="003F0B3C" w:rsidP="00BF51F4">
      <w:r>
        <w:t>Il faudra donc</w:t>
      </w:r>
      <w:r w:rsidR="009A0051">
        <w:t xml:space="preserve"> une </w:t>
      </w:r>
      <w:r>
        <w:t>an</w:t>
      </w:r>
      <w:r w:rsidR="00BF51F4">
        <w:t>alyse</w:t>
      </w:r>
      <w:r w:rsidR="009A0051">
        <w:t xml:space="preserve"> de</w:t>
      </w:r>
      <w:r w:rsidR="00BF51F4">
        <w:t xml:space="preserve"> l’ergonomie et de la typologie </w:t>
      </w:r>
      <w:r>
        <w:t>des lieux, ainsi que les types de murs et cloisons, tout comme les positions des émetteurs et des récepteurs seront à choisir suivant les angles de pénétrations dans les structures du bâtiment :</w:t>
      </w:r>
    </w:p>
    <w:p w:rsidR="003F0B3C" w:rsidRDefault="009F7401" w:rsidP="00BF51F4">
      <w:r>
        <w:rPr>
          <w:noProof/>
        </w:rPr>
        <w:pict>
          <v:shapetype id="_x0000_t94" coordsize="21600,21600" o:spt="94" adj="16200,5400" path="m@0,l@0@1,0@1@5,10800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@5,10800;@0,21600;21600,10800" o:connectangles="270,180,90,0" textboxrect="@5,@1,@6,@2"/>
            <v:handles>
              <v:h position="#0,#1" xrange="0,21600" yrange="0,10800"/>
            </v:handles>
          </v:shapetype>
          <v:shape id="_x0000_s1037" type="#_x0000_t94" style="position:absolute;margin-left:233.25pt;margin-top:48.55pt;width:50.25pt;height:38.25pt;z-index:251666944" fillcolor="#c2d69b [1942]" strokecolor="#9bbb59 [3206]" strokeweight="1pt">
            <v:fill color2="#9bbb59 [3206]" focus="50%" type="gradient"/>
            <v:shadow on="t" type="perspective" color="#4e6128 [1606]" offset="1pt" offset2="-3pt"/>
          </v:shape>
        </w:pict>
      </w:r>
      <w:r w:rsidR="00C62E0A">
        <w:object w:dxaOrig="7955" w:dyaOrig="6174">
          <v:shape id="_x0000_i1029" type="#_x0000_t75" style="width:223.85pt;height:174.05pt" o:ole="">
            <v:imagedata r:id="rId30" o:title=""/>
          </v:shape>
          <o:OLEObject Type="Embed" ProgID="Visio.Drawing.11" ShapeID="_x0000_i1029" DrawAspect="Content" ObjectID="_1619421721" r:id="rId31"/>
        </w:object>
      </w:r>
      <w:r w:rsidR="00801E91">
        <w:tab/>
      </w:r>
      <w:r w:rsidR="00801E91">
        <w:tab/>
      </w:r>
      <w:r w:rsidR="00801E91">
        <w:object w:dxaOrig="8040" w:dyaOrig="6197">
          <v:shape id="_x0000_i1030" type="#_x0000_t75" style="width:223.85pt;height:173.1pt" o:ole="">
            <v:imagedata r:id="rId32" o:title=""/>
          </v:shape>
          <o:OLEObject Type="Embed" ProgID="Visio.Drawing.11" ShapeID="_x0000_i1030" DrawAspect="Content" ObjectID="_1619421722" r:id="rId33"/>
        </w:object>
      </w:r>
    </w:p>
    <w:p w:rsidR="00BF51F4" w:rsidRDefault="00BF51F4" w:rsidP="00260E58">
      <w:r>
        <w:t xml:space="preserve">Cela peut nécessiter : L’ajout </w:t>
      </w:r>
      <w:proofErr w:type="gramStart"/>
      <w:r>
        <w:t xml:space="preserve">d’antennes </w:t>
      </w:r>
      <w:r w:rsidR="00260E58">
        <w:t xml:space="preserve"> ou</w:t>
      </w:r>
      <w:proofErr w:type="gramEnd"/>
      <w:r w:rsidR="00260E58">
        <w:t xml:space="preserve"> l’utilisation de répéteurs.</w:t>
      </w:r>
    </w:p>
    <w:p w:rsidR="00BF51F4" w:rsidRDefault="00260E58" w:rsidP="00BF51F4">
      <w:r>
        <w:t xml:space="preserve">Bien entendu, l’utilisation d’un </w:t>
      </w:r>
      <w:r w:rsidR="00BF51F4">
        <w:t xml:space="preserve">testeur type </w:t>
      </w:r>
      <w:proofErr w:type="spellStart"/>
      <w:r>
        <w:t>Probare</w:t>
      </w:r>
      <w:proofErr w:type="spellEnd"/>
      <w:r>
        <w:t xml:space="preserve"> P10</w:t>
      </w:r>
      <w:r w:rsidR="00BF51F4">
        <w:t xml:space="preserve"> pour valider la portée </w:t>
      </w:r>
      <w:r>
        <w:t>est conseillée.</w:t>
      </w:r>
    </w:p>
    <w:p w:rsidR="00BF51F4" w:rsidRDefault="0099745A" w:rsidP="0099745A">
      <w:pPr>
        <w:jc w:val="center"/>
      </w:pPr>
      <w:r>
        <w:rPr>
          <w:noProof/>
        </w:rPr>
        <w:drawing>
          <wp:inline distT="0" distB="0" distL="0" distR="0">
            <wp:extent cx="2924175" cy="1951782"/>
            <wp:effectExtent l="19050" t="0" r="9525" b="0"/>
            <wp:docPr id="18" name="Imag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19517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0051" w:rsidRPr="009A0051" w:rsidRDefault="009A0051" w:rsidP="009A0051">
      <w:pPr>
        <w:pStyle w:val="Titre2"/>
      </w:pPr>
      <w:r w:rsidRPr="009A0051">
        <w:t>Atténuation</w:t>
      </w:r>
    </w:p>
    <w:p w:rsidR="00833ED2" w:rsidRPr="009A0051" w:rsidRDefault="005F3B8B" w:rsidP="009A0051">
      <w:pPr>
        <w:pStyle w:val="Paragraphedeliste"/>
        <w:numPr>
          <w:ilvl w:val="0"/>
          <w:numId w:val="22"/>
        </w:numPr>
      </w:pPr>
      <w:r w:rsidRPr="009A0051">
        <w:t xml:space="preserve">L'onde Radio peut traverser les murs-&gt; signal radioélectrique est amorti  </w:t>
      </w:r>
    </w:p>
    <w:p w:rsidR="00833ED2" w:rsidRPr="009A0051" w:rsidRDefault="005F3B8B" w:rsidP="009A0051">
      <w:pPr>
        <w:pStyle w:val="Paragraphedeliste"/>
        <w:numPr>
          <w:ilvl w:val="0"/>
          <w:numId w:val="22"/>
        </w:numPr>
      </w:pPr>
      <w:r w:rsidRPr="009A0051">
        <w:t>Le degré d'atténuation dépend du matériel obstacle</w:t>
      </w:r>
      <w:r w:rsidR="009A0051">
        <w:t> :</w:t>
      </w: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4710"/>
        <w:gridCol w:w="1852"/>
      </w:tblGrid>
      <w:tr w:rsidR="009A0051" w:rsidRPr="009A0051" w:rsidTr="009A0051">
        <w:trPr>
          <w:trHeight w:val="454"/>
          <w:jc w:val="center"/>
        </w:trPr>
        <w:tc>
          <w:tcPr>
            <w:tcW w:w="4710" w:type="dxa"/>
            <w:shd w:val="clear" w:color="auto" w:fill="548DD4" w:themeFill="text2" w:themeFillTint="99"/>
            <w:vAlign w:val="center"/>
          </w:tcPr>
          <w:p w:rsidR="009A0051" w:rsidRPr="009A0051" w:rsidRDefault="009A0051" w:rsidP="009A0051">
            <w:pPr>
              <w:jc w:val="center"/>
              <w:rPr>
                <w:b/>
                <w:sz w:val="24"/>
              </w:rPr>
            </w:pPr>
            <w:r w:rsidRPr="009A0051">
              <w:rPr>
                <w:b/>
                <w:sz w:val="24"/>
              </w:rPr>
              <w:t>Nature des matériaux</w:t>
            </w:r>
          </w:p>
        </w:tc>
        <w:tc>
          <w:tcPr>
            <w:tcW w:w="1852" w:type="dxa"/>
            <w:shd w:val="clear" w:color="auto" w:fill="548DD4" w:themeFill="text2" w:themeFillTint="99"/>
            <w:vAlign w:val="center"/>
          </w:tcPr>
          <w:p w:rsidR="009A0051" w:rsidRPr="009A0051" w:rsidRDefault="009A0051" w:rsidP="009A0051">
            <w:pPr>
              <w:jc w:val="center"/>
              <w:rPr>
                <w:b/>
                <w:sz w:val="24"/>
              </w:rPr>
            </w:pPr>
            <w:r w:rsidRPr="009A0051">
              <w:rPr>
                <w:b/>
                <w:sz w:val="24"/>
              </w:rPr>
              <w:t>Atténuation</w:t>
            </w:r>
          </w:p>
        </w:tc>
      </w:tr>
      <w:tr w:rsidR="009A0051" w:rsidRPr="009A0051" w:rsidTr="009A0051">
        <w:trPr>
          <w:trHeight w:val="454"/>
          <w:jc w:val="center"/>
        </w:trPr>
        <w:tc>
          <w:tcPr>
            <w:tcW w:w="4710" w:type="dxa"/>
            <w:vAlign w:val="center"/>
          </w:tcPr>
          <w:p w:rsidR="009A0051" w:rsidRPr="009A0051" w:rsidRDefault="009A0051" w:rsidP="009A0051">
            <w:r w:rsidRPr="009A0051">
              <w:t xml:space="preserve">Bois, plâtre, </w:t>
            </w:r>
            <w:proofErr w:type="gramStart"/>
            <w:r w:rsidRPr="009A0051">
              <w:t>verre non enduits</w:t>
            </w:r>
            <w:proofErr w:type="gramEnd"/>
            <w:r w:rsidRPr="009A0051">
              <w:t xml:space="preserve">, sans métal </w:t>
            </w:r>
          </w:p>
        </w:tc>
        <w:tc>
          <w:tcPr>
            <w:tcW w:w="1852" w:type="dxa"/>
            <w:shd w:val="clear" w:color="auto" w:fill="D6E3BC" w:themeFill="accent3" w:themeFillTint="66"/>
            <w:vAlign w:val="center"/>
          </w:tcPr>
          <w:p w:rsidR="009A0051" w:rsidRPr="009A0051" w:rsidRDefault="009A0051" w:rsidP="009A0051">
            <w:pPr>
              <w:jc w:val="center"/>
            </w:pPr>
            <w:r w:rsidRPr="009A0051">
              <w:t>0 - 10%</w:t>
            </w:r>
          </w:p>
        </w:tc>
      </w:tr>
      <w:tr w:rsidR="009A0051" w:rsidRPr="009A0051" w:rsidTr="009A0051">
        <w:trPr>
          <w:trHeight w:val="454"/>
          <w:jc w:val="center"/>
        </w:trPr>
        <w:tc>
          <w:tcPr>
            <w:tcW w:w="4710" w:type="dxa"/>
            <w:vAlign w:val="center"/>
          </w:tcPr>
          <w:p w:rsidR="009A0051" w:rsidRPr="009A0051" w:rsidRDefault="009A0051" w:rsidP="009A0051">
            <w:r w:rsidRPr="009A0051">
              <w:t>Tuile, panneau stratifié</w:t>
            </w:r>
          </w:p>
        </w:tc>
        <w:tc>
          <w:tcPr>
            <w:tcW w:w="1852" w:type="dxa"/>
            <w:shd w:val="clear" w:color="auto" w:fill="FBD4B4" w:themeFill="accent6" w:themeFillTint="66"/>
            <w:vAlign w:val="center"/>
          </w:tcPr>
          <w:p w:rsidR="009A0051" w:rsidRPr="009A0051" w:rsidRDefault="009A0051" w:rsidP="009A0051">
            <w:pPr>
              <w:jc w:val="center"/>
            </w:pPr>
            <w:r w:rsidRPr="009A0051">
              <w:t>5 - 35%</w:t>
            </w:r>
          </w:p>
        </w:tc>
      </w:tr>
      <w:tr w:rsidR="009A0051" w:rsidRPr="009A0051" w:rsidTr="009A0051">
        <w:trPr>
          <w:trHeight w:val="454"/>
          <w:jc w:val="center"/>
        </w:trPr>
        <w:tc>
          <w:tcPr>
            <w:tcW w:w="4710" w:type="dxa"/>
            <w:vAlign w:val="center"/>
          </w:tcPr>
          <w:p w:rsidR="009A0051" w:rsidRPr="009A0051" w:rsidRDefault="009A0051" w:rsidP="009A0051">
            <w:r w:rsidRPr="009A0051">
              <w:t>Béton armé avec du fer</w:t>
            </w:r>
          </w:p>
        </w:tc>
        <w:tc>
          <w:tcPr>
            <w:tcW w:w="1852" w:type="dxa"/>
            <w:shd w:val="clear" w:color="auto" w:fill="D9D9D9" w:themeFill="background1" w:themeFillShade="D9"/>
            <w:vAlign w:val="center"/>
          </w:tcPr>
          <w:p w:rsidR="009A0051" w:rsidRPr="009A0051" w:rsidRDefault="009A0051" w:rsidP="009A0051">
            <w:pPr>
              <w:jc w:val="center"/>
            </w:pPr>
            <w:r w:rsidRPr="009A0051">
              <w:t>10 - 90%</w:t>
            </w:r>
          </w:p>
        </w:tc>
      </w:tr>
      <w:tr w:rsidR="009A0051" w:rsidRPr="009A0051" w:rsidTr="009A0051">
        <w:trPr>
          <w:trHeight w:val="454"/>
          <w:jc w:val="center"/>
        </w:trPr>
        <w:tc>
          <w:tcPr>
            <w:tcW w:w="4710" w:type="dxa"/>
            <w:vAlign w:val="center"/>
          </w:tcPr>
          <w:p w:rsidR="009A0051" w:rsidRPr="009A0051" w:rsidRDefault="009A0051" w:rsidP="009A0051">
            <w:r w:rsidRPr="009A0051">
              <w:t>Métal, placage en aluminium</w:t>
            </w:r>
          </w:p>
        </w:tc>
        <w:tc>
          <w:tcPr>
            <w:tcW w:w="1852" w:type="dxa"/>
            <w:shd w:val="clear" w:color="auto" w:fill="FF0000"/>
            <w:vAlign w:val="center"/>
          </w:tcPr>
          <w:p w:rsidR="009A0051" w:rsidRPr="009A0051" w:rsidRDefault="009A0051" w:rsidP="009A0051">
            <w:pPr>
              <w:jc w:val="center"/>
            </w:pPr>
            <w:r w:rsidRPr="009A0051">
              <w:t>90 - 100%</w:t>
            </w:r>
          </w:p>
        </w:tc>
      </w:tr>
    </w:tbl>
    <w:p w:rsidR="0039641A" w:rsidRDefault="009F0AFF" w:rsidP="00BF51F4">
      <w:pPr>
        <w:pStyle w:val="Titre1"/>
      </w:pPr>
      <w:r>
        <w:lastRenderedPageBreak/>
        <w:t xml:space="preserve">Planification d’un projet </w:t>
      </w:r>
      <w:proofErr w:type="spellStart"/>
      <w:r>
        <w:t>Enocean</w:t>
      </w:r>
      <w:proofErr w:type="spellEnd"/>
    </w:p>
    <w:p w:rsidR="00BC768F" w:rsidRDefault="00BC768F" w:rsidP="00BC768F">
      <w:r>
        <w:t>Nous avons besoin :</w:t>
      </w:r>
    </w:p>
    <w:p w:rsidR="00BC768F" w:rsidRDefault="00BC768F" w:rsidP="00BC768F">
      <w:pPr>
        <w:pStyle w:val="Paragraphedeliste"/>
        <w:numPr>
          <w:ilvl w:val="0"/>
          <w:numId w:val="19"/>
        </w:numPr>
      </w:pPr>
      <w:proofErr w:type="gramStart"/>
      <w:r>
        <w:t>du</w:t>
      </w:r>
      <w:proofErr w:type="gramEnd"/>
      <w:r>
        <w:t xml:space="preserve"> plan des bâtiments.</w:t>
      </w:r>
    </w:p>
    <w:p w:rsidR="00BC768F" w:rsidRDefault="00BC768F" w:rsidP="00BC768F">
      <w:pPr>
        <w:pStyle w:val="Paragraphedeliste"/>
        <w:numPr>
          <w:ilvl w:val="0"/>
          <w:numId w:val="19"/>
        </w:numPr>
      </w:pPr>
      <w:r>
        <w:t>D’une règle,</w:t>
      </w:r>
    </w:p>
    <w:p w:rsidR="00BC768F" w:rsidRDefault="00BC768F" w:rsidP="00BC768F">
      <w:pPr>
        <w:pStyle w:val="Paragraphedeliste"/>
        <w:numPr>
          <w:ilvl w:val="0"/>
          <w:numId w:val="19"/>
        </w:numPr>
      </w:pPr>
      <w:r>
        <w:t>Et d’un compas.</w:t>
      </w:r>
    </w:p>
    <w:p w:rsidR="00BC768F" w:rsidRDefault="00BC768F" w:rsidP="00BC768F">
      <w:r>
        <w:t>Sur le plan, nous placerons les récepteurs comme souhaité (généralement derrière les points de fixations des lampes).</w:t>
      </w:r>
    </w:p>
    <w:p w:rsidR="00BC768F" w:rsidRDefault="002F7EC2" w:rsidP="00BC768F">
      <w:r>
        <w:t>En</w:t>
      </w:r>
      <w:r w:rsidR="009F4A44">
        <w:t>suite, nous tracerons pour chaque récepteur la zone où devra être placé l’émetteur afin de fonctionner correctement.</w:t>
      </w:r>
    </w:p>
    <w:p w:rsidR="009F4A44" w:rsidRDefault="009F4A44" w:rsidP="00BC768F">
      <w:r>
        <w:t>Il ne nous reste plus qu’</w:t>
      </w:r>
      <w:proofErr w:type="spellStart"/>
      <w:r>
        <w:t>a</w:t>
      </w:r>
      <w:proofErr w:type="spellEnd"/>
      <w:r>
        <w:t xml:space="preserve"> nous assurer que l’émetteur est bien placé dans cette zone, sinon, prévoir un répéteur dans cette zone.</w:t>
      </w:r>
    </w:p>
    <w:p w:rsidR="00BC768F" w:rsidRDefault="00F261D1" w:rsidP="00BC768F">
      <w:r>
        <w:object w:dxaOrig="24803" w:dyaOrig="22716">
          <v:shape id="_x0000_i1031" type="#_x0000_t75" style="width:522.15pt;height:478pt" o:ole="">
            <v:imagedata r:id="rId35" o:title=""/>
          </v:shape>
          <o:OLEObject Type="Embed" ProgID="Visio.Drawing.11" ShapeID="_x0000_i1031" DrawAspect="Content" ObjectID="_1619421723" r:id="rId36"/>
        </w:object>
      </w:r>
    </w:p>
    <w:p w:rsidR="005C35D1" w:rsidRDefault="005C35D1" w:rsidP="00BC768F"/>
    <w:p w:rsidR="00BC768F" w:rsidRPr="00BC768F" w:rsidRDefault="005C35D1" w:rsidP="00BC768F">
      <w:r>
        <w:t>Ensuite, lors de la réalisation sur le chantier, il vous faudra toujours avoir avec vous votre probareP10 pour justifier de l’intérêt d’un répéteur, ou non.</w:t>
      </w:r>
    </w:p>
    <w:p w:rsidR="00685D69" w:rsidRPr="005C551D" w:rsidRDefault="00685D69" w:rsidP="00685D69"/>
    <w:sectPr w:rsidR="00685D69" w:rsidRPr="005C551D" w:rsidSect="00F17153">
      <w:headerReference w:type="default" r:id="rId3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7401" w:rsidRDefault="009F7401" w:rsidP="00400EA4">
      <w:r>
        <w:separator/>
      </w:r>
    </w:p>
  </w:endnote>
  <w:endnote w:type="continuationSeparator" w:id="0">
    <w:p w:rsidR="009F7401" w:rsidRDefault="009F7401" w:rsidP="00400E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551D" w:rsidRDefault="002F7EC2" w:rsidP="000A299B">
    <w:pPr>
      <w:pStyle w:val="Pieddepage"/>
      <w:tabs>
        <w:tab w:val="clear" w:pos="9072"/>
        <w:tab w:val="right" w:pos="10348"/>
      </w:tabs>
    </w:pPr>
    <w:r>
      <w:rPr>
        <w:noProof/>
      </w:rPr>
      <w:fldChar w:fldCharType="begin"/>
    </w:r>
    <w:r>
      <w:rPr>
        <w:noProof/>
      </w:rPr>
      <w:instrText xml:space="preserve"> FILENAME   \* MERGEFORMAT </w:instrText>
    </w:r>
    <w:r>
      <w:rPr>
        <w:noProof/>
      </w:rPr>
      <w:fldChar w:fldCharType="separate"/>
    </w:r>
    <w:r w:rsidR="000A299B">
      <w:rPr>
        <w:noProof/>
      </w:rPr>
      <w:t>Présentation Smarthome</w:t>
    </w:r>
    <w:r>
      <w:rPr>
        <w:noProof/>
      </w:rPr>
      <w:fldChar w:fldCharType="end"/>
    </w:r>
    <w:r w:rsidR="005C551D">
      <w:tab/>
    </w:r>
    <w:r w:rsidR="005C551D">
      <w:tab/>
      <w:t xml:space="preserve">Page </w:t>
    </w:r>
    <w:r w:rsidR="007A3AB7">
      <w:rPr>
        <w:noProof/>
      </w:rPr>
      <w:fldChar w:fldCharType="begin"/>
    </w:r>
    <w:r w:rsidR="00DE028C">
      <w:rPr>
        <w:noProof/>
      </w:rPr>
      <w:instrText xml:space="preserve"> PAGE   \* MERGEFORMAT </w:instrText>
    </w:r>
    <w:r w:rsidR="007A3AB7">
      <w:rPr>
        <w:noProof/>
      </w:rPr>
      <w:fldChar w:fldCharType="separate"/>
    </w:r>
    <w:r>
      <w:rPr>
        <w:noProof/>
      </w:rPr>
      <w:t>1</w:t>
    </w:r>
    <w:r w:rsidR="007A3AB7">
      <w:rPr>
        <w:noProof/>
      </w:rPr>
      <w:fldChar w:fldCharType="end"/>
    </w:r>
    <w:r w:rsidR="005C551D">
      <w:t xml:space="preserve"> / </w:t>
    </w:r>
    <w:r>
      <w:rPr>
        <w:noProof/>
      </w:rPr>
      <w:fldChar w:fldCharType="begin"/>
    </w:r>
    <w:r>
      <w:rPr>
        <w:noProof/>
      </w:rPr>
      <w:instrText xml:space="preserve"> NUMPAGES   \* MERGEFORMAT </w:instrText>
    </w:r>
    <w:r>
      <w:rPr>
        <w:noProof/>
      </w:rPr>
      <w:fldChar w:fldCharType="separate"/>
    </w:r>
    <w:r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7401" w:rsidRDefault="009F7401" w:rsidP="00400EA4">
      <w:r>
        <w:separator/>
      </w:r>
    </w:p>
  </w:footnote>
  <w:footnote w:type="continuationSeparator" w:id="0">
    <w:p w:rsidR="009F7401" w:rsidRDefault="009F7401" w:rsidP="00400E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551D" w:rsidRPr="00EE4044" w:rsidRDefault="00EE4044" w:rsidP="00454A30">
    <w:pPr>
      <w:pStyle w:val="En-tte"/>
      <w:rPr>
        <w:sz w:val="8"/>
      </w:rPr>
    </w:pPr>
    <w:r w:rsidRPr="00EE4044">
      <w:rPr>
        <w:noProof/>
        <w:sz w:val="20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5942553</wp:posOffset>
          </wp:positionH>
          <wp:positionV relativeFrom="paragraph">
            <wp:posOffset>-17501</wp:posOffset>
          </wp:positionV>
          <wp:extent cx="674287" cy="522514"/>
          <wp:effectExtent l="19050" t="0" r="0" b="0"/>
          <wp:wrapNone/>
          <wp:docPr id="9" name="Imag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leec.bmp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6667" b="8333"/>
                  <a:stretch>
                    <a:fillRect/>
                  </a:stretch>
                </pic:blipFill>
                <pic:spPr>
                  <a:xfrm>
                    <a:off x="0" y="0"/>
                    <a:ext cx="674287" cy="52251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E4044">
      <w:rPr>
        <w:noProof/>
        <w:sz w:val="20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margin">
            <wp:align>left</wp:align>
          </wp:positionH>
          <wp:positionV relativeFrom="paragraph">
            <wp:posOffset>72934</wp:posOffset>
          </wp:positionV>
          <wp:extent cx="1031003" cy="371789"/>
          <wp:effectExtent l="19050" t="0" r="0" b="0"/>
          <wp:wrapNone/>
          <wp:docPr id="8" name="Image 0" descr="Logo LP diderot 2017 taille rédu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LP diderot 2017 taille réduite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31003" cy="3717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tbl>
    <w:tblPr>
      <w:tblStyle w:val="Listemoyenne1-Accent3"/>
      <w:tblW w:w="0" w:type="auto"/>
      <w:tblInd w:w="1809" w:type="dxa"/>
      <w:tblLook w:val="04A0" w:firstRow="1" w:lastRow="0" w:firstColumn="1" w:lastColumn="0" w:noHBand="0" w:noVBand="1"/>
    </w:tblPr>
    <w:tblGrid>
      <w:gridCol w:w="2165"/>
      <w:gridCol w:w="3661"/>
      <w:gridCol w:w="1829"/>
    </w:tblGrid>
    <w:tr w:rsidR="00E22105" w:rsidTr="00EE4044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2165" w:type="dxa"/>
          <w:tcBorders>
            <w:bottom w:val="single" w:sz="8" w:space="0" w:color="002060"/>
          </w:tcBorders>
        </w:tcPr>
        <w:p w:rsidR="00E22105" w:rsidRPr="00C83C44" w:rsidRDefault="00E22105" w:rsidP="00E22105">
          <w:pPr>
            <w:pStyle w:val="En-tte"/>
            <w:rPr>
              <w:b w:val="0"/>
            </w:rPr>
          </w:pPr>
          <w:r>
            <w:rPr>
              <w:b w:val="0"/>
            </w:rPr>
            <w:t>NOM</w:t>
          </w:r>
          <w:r w:rsidRPr="00C83C44">
            <w:t xml:space="preserve"> : </w:t>
          </w:r>
        </w:p>
      </w:tc>
      <w:tc>
        <w:tcPr>
          <w:tcW w:w="3661" w:type="dxa"/>
          <w:vMerge w:val="restart"/>
          <w:tcBorders>
            <w:bottom w:val="single" w:sz="8" w:space="0" w:color="002060"/>
          </w:tcBorders>
        </w:tcPr>
        <w:p w:rsidR="00E22105" w:rsidRPr="00E22105" w:rsidRDefault="002F7EC2" w:rsidP="00E22105">
          <w:pPr>
            <w:pStyle w:val="En-tte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b/>
              <w:i/>
              <w:color w:val="17365D" w:themeColor="text2" w:themeShade="BF"/>
            </w:rPr>
          </w:pPr>
          <w:r>
            <w:rPr>
              <w:b/>
              <w:i/>
              <w:noProof/>
              <w:color w:val="17365D" w:themeColor="text2" w:themeShade="BF"/>
              <w:sz w:val="32"/>
            </w:rPr>
            <w:fldChar w:fldCharType="begin"/>
          </w:r>
          <w:r>
            <w:rPr>
              <w:rFonts w:asciiTheme="minorHAnsi" w:eastAsiaTheme="minorHAnsi" w:hAnsiTheme="minorHAnsi" w:cstheme="minorBidi"/>
              <w:b/>
              <w:i/>
              <w:noProof/>
              <w:color w:val="17365D" w:themeColor="text2" w:themeShade="BF"/>
              <w:sz w:val="32"/>
              <w:szCs w:val="24"/>
            </w:rPr>
            <w:instrText xml:space="preserve"> FILENAME   \* MERGEFORMAT </w:instrText>
          </w:r>
          <w:r>
            <w:rPr>
              <w:b/>
              <w:i/>
              <w:noProof/>
              <w:color w:val="17365D" w:themeColor="text2" w:themeShade="BF"/>
              <w:sz w:val="32"/>
            </w:rPr>
            <w:fldChar w:fldCharType="separate"/>
          </w:r>
          <w:r w:rsidR="00F74D09">
            <w:rPr>
              <w:b/>
              <w:i/>
              <w:noProof/>
              <w:color w:val="17365D" w:themeColor="text2" w:themeShade="BF"/>
              <w:sz w:val="32"/>
            </w:rPr>
            <w:t>La technologie Enocean</w:t>
          </w:r>
          <w:r>
            <w:rPr>
              <w:b/>
              <w:i/>
              <w:noProof/>
              <w:color w:val="17365D" w:themeColor="text2" w:themeShade="BF"/>
              <w:sz w:val="32"/>
            </w:rPr>
            <w:fldChar w:fldCharType="end"/>
          </w:r>
        </w:p>
      </w:tc>
      <w:tc>
        <w:tcPr>
          <w:tcW w:w="1829" w:type="dxa"/>
          <w:tcBorders>
            <w:bottom w:val="single" w:sz="8" w:space="0" w:color="002060"/>
          </w:tcBorders>
        </w:tcPr>
        <w:p w:rsidR="00E22105" w:rsidRPr="00C83C44" w:rsidRDefault="00E22105" w:rsidP="00E22105">
          <w:pPr>
            <w:pStyle w:val="En-tte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/w:pPr>
        </w:p>
      </w:tc>
    </w:tr>
    <w:tr w:rsidR="00E22105" w:rsidTr="00EE4044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2165" w:type="dxa"/>
          <w:tcBorders>
            <w:top w:val="single" w:sz="8" w:space="0" w:color="002060"/>
            <w:bottom w:val="single" w:sz="8" w:space="0" w:color="002060"/>
          </w:tcBorders>
          <w:shd w:val="clear" w:color="auto" w:fill="DAEEF3" w:themeFill="accent5" w:themeFillTint="33"/>
        </w:tcPr>
        <w:p w:rsidR="00E22105" w:rsidRPr="00C83C44" w:rsidRDefault="00E22105" w:rsidP="00E22105">
          <w:pPr>
            <w:pStyle w:val="En-tte"/>
            <w:rPr>
              <w:b w:val="0"/>
            </w:rPr>
          </w:pPr>
          <w:r>
            <w:rPr>
              <w:b w:val="0"/>
            </w:rPr>
            <w:t>Classe</w:t>
          </w:r>
        </w:p>
      </w:tc>
      <w:tc>
        <w:tcPr>
          <w:tcW w:w="3661" w:type="dxa"/>
          <w:vMerge/>
          <w:tcBorders>
            <w:top w:val="single" w:sz="8" w:space="0" w:color="002060"/>
            <w:bottom w:val="single" w:sz="8" w:space="0" w:color="002060"/>
          </w:tcBorders>
        </w:tcPr>
        <w:p w:rsidR="00E22105" w:rsidRDefault="00E22105" w:rsidP="00E22105">
          <w:pPr>
            <w:pStyle w:val="En-tte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1829" w:type="dxa"/>
          <w:tcBorders>
            <w:top w:val="single" w:sz="8" w:space="0" w:color="002060"/>
            <w:bottom w:val="single" w:sz="8" w:space="0" w:color="002060"/>
          </w:tcBorders>
          <w:shd w:val="clear" w:color="auto" w:fill="DAEEF3" w:themeFill="accent5" w:themeFillTint="33"/>
        </w:tcPr>
        <w:p w:rsidR="00E22105" w:rsidRPr="00C83C44" w:rsidRDefault="00E22105" w:rsidP="00E22105">
          <w:pPr>
            <w:pStyle w:val="En-tte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</w:tr>
  </w:tbl>
  <w:p w:rsidR="00E22105" w:rsidRPr="00EE4044" w:rsidRDefault="00E22105" w:rsidP="00EE4044">
    <w:pPr>
      <w:pStyle w:val="En-tte"/>
      <w:rPr>
        <w:sz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0480" w:rsidRPr="00E972E7" w:rsidRDefault="00E50480" w:rsidP="00E972E7">
    <w:pPr>
      <w:pStyle w:val="En-tte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39.85pt;height:86.15pt" o:bullet="t">
        <v:imagedata r:id="rId1" o:title="Enocean 2"/>
      </v:shape>
    </w:pict>
  </w:numPicBullet>
  <w:numPicBullet w:numPicBulletId="1">
    <w:pict>
      <v:shape id="_x0000_i1030" type="#_x0000_t75" style="width:32.05pt;height:32.05pt" o:bullet="t">
        <v:imagedata r:id="rId2" o:title="art4E0D"/>
      </v:shape>
    </w:pict>
  </w:numPicBullet>
  <w:numPicBullet w:numPicBulletId="2">
    <w:pict>
      <v:shape id="_x0000_i1031" type="#_x0000_t75" style="width:32.05pt;height:32.05pt" o:bullet="t">
        <v:imagedata r:id="rId3" o:title="artF300"/>
      </v:shape>
    </w:pict>
  </w:numPicBullet>
  <w:abstractNum w:abstractNumId="0" w15:restartNumberingAfterBreak="0">
    <w:nsid w:val="02C27B2E"/>
    <w:multiLevelType w:val="hybridMultilevel"/>
    <w:tmpl w:val="AF40BAD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F2D0B"/>
    <w:multiLevelType w:val="multilevel"/>
    <w:tmpl w:val="98C2C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E94FCB"/>
    <w:multiLevelType w:val="hybridMultilevel"/>
    <w:tmpl w:val="E668D1CA"/>
    <w:lvl w:ilvl="0" w:tplc="E9FE718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2B0AEF2" w:tentative="1">
      <w:start w:val="1"/>
      <w:numFmt w:val="bullet"/>
      <w:lvlText w:val=""/>
      <w:lvlPicBulletId w:val="1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B40941C">
      <w:start w:val="1"/>
      <w:numFmt w:val="bullet"/>
      <w:lvlText w:val=""/>
      <w:lvlPicBulletId w:val="1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1D04A0E" w:tentative="1">
      <w:start w:val="1"/>
      <w:numFmt w:val="bullet"/>
      <w:lvlText w:val=""/>
      <w:lvlPicBulletId w:val="1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5604EA6" w:tentative="1">
      <w:start w:val="1"/>
      <w:numFmt w:val="bullet"/>
      <w:lvlText w:val=""/>
      <w:lvlPicBulletId w:val="1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E0894A0" w:tentative="1">
      <w:start w:val="1"/>
      <w:numFmt w:val="bullet"/>
      <w:lvlText w:val=""/>
      <w:lvlPicBulletId w:val="1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60ACB6E" w:tentative="1">
      <w:start w:val="1"/>
      <w:numFmt w:val="bullet"/>
      <w:lvlText w:val=""/>
      <w:lvlPicBulletId w:val="1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EBAA340" w:tentative="1">
      <w:start w:val="1"/>
      <w:numFmt w:val="bullet"/>
      <w:lvlText w:val=""/>
      <w:lvlPicBulletId w:val="1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67446F0" w:tentative="1">
      <w:start w:val="1"/>
      <w:numFmt w:val="bullet"/>
      <w:lvlText w:val=""/>
      <w:lvlPicBulletId w:val="1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0E981963"/>
    <w:multiLevelType w:val="hybridMultilevel"/>
    <w:tmpl w:val="41129D24"/>
    <w:lvl w:ilvl="0" w:tplc="08109306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D405A8C" w:tentative="1">
      <w:start w:val="1"/>
      <w:numFmt w:val="bullet"/>
      <w:lvlText w:val=""/>
      <w:lvlPicBulletId w:val="2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0F471E0" w:tentative="1">
      <w:start w:val="1"/>
      <w:numFmt w:val="bullet"/>
      <w:lvlText w:val=""/>
      <w:lvlPicBulletId w:val="2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7FA863A">
      <w:start w:val="1"/>
      <w:numFmt w:val="bullet"/>
      <w:lvlText w:val=""/>
      <w:lvlPicBulletId w:val="2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5A0D542" w:tentative="1">
      <w:start w:val="1"/>
      <w:numFmt w:val="bullet"/>
      <w:lvlText w:val=""/>
      <w:lvlPicBulletId w:val="2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114628C" w:tentative="1">
      <w:start w:val="1"/>
      <w:numFmt w:val="bullet"/>
      <w:lvlText w:val=""/>
      <w:lvlPicBulletId w:val="2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A9C09E0" w:tentative="1">
      <w:start w:val="1"/>
      <w:numFmt w:val="bullet"/>
      <w:lvlText w:val=""/>
      <w:lvlPicBulletId w:val="2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ABC5F7C" w:tentative="1">
      <w:start w:val="1"/>
      <w:numFmt w:val="bullet"/>
      <w:lvlText w:val=""/>
      <w:lvlPicBulletId w:val="2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E7443B6" w:tentative="1">
      <w:start w:val="1"/>
      <w:numFmt w:val="bullet"/>
      <w:lvlText w:val=""/>
      <w:lvlPicBulletId w:val="2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18B03D55"/>
    <w:multiLevelType w:val="hybridMultilevel"/>
    <w:tmpl w:val="683C2BCA"/>
    <w:lvl w:ilvl="0" w:tplc="3E60682C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8BA01CA" w:tentative="1">
      <w:start w:val="1"/>
      <w:numFmt w:val="bullet"/>
      <w:lvlText w:val=""/>
      <w:lvlPicBulletId w:val="1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2E4C0C8">
      <w:start w:val="1"/>
      <w:numFmt w:val="bullet"/>
      <w:lvlText w:val=""/>
      <w:lvlPicBulletId w:val="1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308B008" w:tentative="1">
      <w:start w:val="1"/>
      <w:numFmt w:val="bullet"/>
      <w:lvlText w:val=""/>
      <w:lvlPicBulletId w:val="1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83E2780" w:tentative="1">
      <w:start w:val="1"/>
      <w:numFmt w:val="bullet"/>
      <w:lvlText w:val=""/>
      <w:lvlPicBulletId w:val="1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26C53DE" w:tentative="1">
      <w:start w:val="1"/>
      <w:numFmt w:val="bullet"/>
      <w:lvlText w:val=""/>
      <w:lvlPicBulletId w:val="1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62A6F74" w:tentative="1">
      <w:start w:val="1"/>
      <w:numFmt w:val="bullet"/>
      <w:lvlText w:val=""/>
      <w:lvlPicBulletId w:val="1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43E6DA6" w:tentative="1">
      <w:start w:val="1"/>
      <w:numFmt w:val="bullet"/>
      <w:lvlText w:val=""/>
      <w:lvlPicBulletId w:val="1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C1CB0D8" w:tentative="1">
      <w:start w:val="1"/>
      <w:numFmt w:val="bullet"/>
      <w:lvlText w:val=""/>
      <w:lvlPicBulletId w:val="1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19394FE8"/>
    <w:multiLevelType w:val="hybridMultilevel"/>
    <w:tmpl w:val="9ACAB3D2"/>
    <w:lvl w:ilvl="0" w:tplc="5E3CAF5A">
      <w:start w:val="1"/>
      <w:numFmt w:val="bullet"/>
      <w:lvlText w:val=""/>
      <w:lvlPicBulletId w:val="0"/>
      <w:lvlJc w:val="left"/>
      <w:pPr>
        <w:ind w:left="765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 w15:restartNumberingAfterBreak="0">
    <w:nsid w:val="202149F8"/>
    <w:multiLevelType w:val="hybridMultilevel"/>
    <w:tmpl w:val="0A606030"/>
    <w:lvl w:ilvl="0" w:tplc="5E3CAF5A">
      <w:start w:val="1"/>
      <w:numFmt w:val="bullet"/>
      <w:lvlText w:val=""/>
      <w:lvlPicBulletId w:val="0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26C76CBA"/>
    <w:multiLevelType w:val="hybridMultilevel"/>
    <w:tmpl w:val="BE3CAD9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701C8"/>
    <w:multiLevelType w:val="hybridMultilevel"/>
    <w:tmpl w:val="1174CE44"/>
    <w:lvl w:ilvl="0" w:tplc="5E3CAF5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6E4889"/>
    <w:multiLevelType w:val="hybridMultilevel"/>
    <w:tmpl w:val="EAA8E2F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305B05"/>
    <w:multiLevelType w:val="hybridMultilevel"/>
    <w:tmpl w:val="481E042A"/>
    <w:lvl w:ilvl="0" w:tplc="5E3CAF5A">
      <w:start w:val="1"/>
      <w:numFmt w:val="bullet"/>
      <w:lvlText w:val=""/>
      <w:lvlPicBulletId w:val="0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040C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3C4746B4"/>
    <w:multiLevelType w:val="hybridMultilevel"/>
    <w:tmpl w:val="7F76A305"/>
    <w:lvl w:ilvl="0" w:tplc="FFFFFFFF">
      <w:start w:val="1"/>
      <w:numFmt w:val="ideographDigital"/>
      <w:lvlText w:val=""/>
      <w:lvlJc w:val="left"/>
    </w:lvl>
    <w:lvl w:ilvl="1" w:tplc="FFFFFFFF">
      <w:start w:val="1"/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3F6B300B"/>
    <w:multiLevelType w:val="hybridMultilevel"/>
    <w:tmpl w:val="AFA01502"/>
    <w:lvl w:ilvl="0" w:tplc="5B1CA064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6C03354">
      <w:start w:val="1"/>
      <w:numFmt w:val="bullet"/>
      <w:lvlText w:val=""/>
      <w:lvlPicBulletId w:val="1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E3CAF5A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auto"/>
      </w:rPr>
    </w:lvl>
    <w:lvl w:ilvl="3" w:tplc="C6AAFA9C" w:tentative="1">
      <w:start w:val="1"/>
      <w:numFmt w:val="bullet"/>
      <w:lvlText w:val=""/>
      <w:lvlPicBulletId w:val="1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DF6FB54" w:tentative="1">
      <w:start w:val="1"/>
      <w:numFmt w:val="bullet"/>
      <w:lvlText w:val=""/>
      <w:lvlPicBulletId w:val="1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DA641E8" w:tentative="1">
      <w:start w:val="1"/>
      <w:numFmt w:val="bullet"/>
      <w:lvlText w:val=""/>
      <w:lvlPicBulletId w:val="1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2C64DF4" w:tentative="1">
      <w:start w:val="1"/>
      <w:numFmt w:val="bullet"/>
      <w:lvlText w:val=""/>
      <w:lvlPicBulletId w:val="1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F8A6CCE" w:tentative="1">
      <w:start w:val="1"/>
      <w:numFmt w:val="bullet"/>
      <w:lvlText w:val=""/>
      <w:lvlPicBulletId w:val="1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C02B8B4" w:tentative="1">
      <w:start w:val="1"/>
      <w:numFmt w:val="bullet"/>
      <w:lvlText w:val=""/>
      <w:lvlPicBulletId w:val="1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45BE5527"/>
    <w:multiLevelType w:val="multilevel"/>
    <w:tmpl w:val="F8381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8E35F84"/>
    <w:multiLevelType w:val="multilevel"/>
    <w:tmpl w:val="B2F86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A113853"/>
    <w:multiLevelType w:val="hybridMultilevel"/>
    <w:tmpl w:val="213AF6E8"/>
    <w:lvl w:ilvl="0" w:tplc="5E3CAF5A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0D5529A"/>
    <w:multiLevelType w:val="hybridMultilevel"/>
    <w:tmpl w:val="4F40A93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5856BF"/>
    <w:multiLevelType w:val="hybridMultilevel"/>
    <w:tmpl w:val="2E3034E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5E7940"/>
    <w:multiLevelType w:val="hybridMultilevel"/>
    <w:tmpl w:val="A27CE46E"/>
    <w:lvl w:ilvl="0" w:tplc="5E3CAF5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CAC3851"/>
    <w:multiLevelType w:val="hybridMultilevel"/>
    <w:tmpl w:val="80AE0E68"/>
    <w:lvl w:ilvl="0" w:tplc="5E3CAF5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FC0631"/>
    <w:multiLevelType w:val="hybridMultilevel"/>
    <w:tmpl w:val="5C023F28"/>
    <w:lvl w:ilvl="0" w:tplc="5B1CA064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6C03354" w:tentative="1">
      <w:start w:val="1"/>
      <w:numFmt w:val="bullet"/>
      <w:lvlText w:val=""/>
      <w:lvlPicBulletId w:val="1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2D829D2">
      <w:start w:val="1"/>
      <w:numFmt w:val="bullet"/>
      <w:lvlText w:val=""/>
      <w:lvlPicBulletId w:val="1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6AAFA9C" w:tentative="1">
      <w:start w:val="1"/>
      <w:numFmt w:val="bullet"/>
      <w:lvlText w:val=""/>
      <w:lvlPicBulletId w:val="1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DF6FB54" w:tentative="1">
      <w:start w:val="1"/>
      <w:numFmt w:val="bullet"/>
      <w:lvlText w:val=""/>
      <w:lvlPicBulletId w:val="1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DA641E8" w:tentative="1">
      <w:start w:val="1"/>
      <w:numFmt w:val="bullet"/>
      <w:lvlText w:val=""/>
      <w:lvlPicBulletId w:val="1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2C64DF4" w:tentative="1">
      <w:start w:val="1"/>
      <w:numFmt w:val="bullet"/>
      <w:lvlText w:val=""/>
      <w:lvlPicBulletId w:val="1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F8A6CCE" w:tentative="1">
      <w:start w:val="1"/>
      <w:numFmt w:val="bullet"/>
      <w:lvlText w:val=""/>
      <w:lvlPicBulletId w:val="1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C02B8B4" w:tentative="1">
      <w:start w:val="1"/>
      <w:numFmt w:val="bullet"/>
      <w:lvlText w:val=""/>
      <w:lvlPicBulletId w:val="1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1" w15:restartNumberingAfterBreak="0">
    <w:nsid w:val="7FD97937"/>
    <w:multiLevelType w:val="hybridMultilevel"/>
    <w:tmpl w:val="17BC10D4"/>
    <w:lvl w:ilvl="0" w:tplc="DCCAF26E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4A6326" w:tentative="1">
      <w:start w:val="1"/>
      <w:numFmt w:val="bullet"/>
      <w:lvlText w:val=""/>
      <w:lvlPicBulletId w:val="1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42C01C0">
      <w:start w:val="1"/>
      <w:numFmt w:val="bullet"/>
      <w:lvlText w:val=""/>
      <w:lvlPicBulletId w:val="1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6E03AFA" w:tentative="1">
      <w:start w:val="1"/>
      <w:numFmt w:val="bullet"/>
      <w:lvlText w:val=""/>
      <w:lvlPicBulletId w:val="1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BBE7086" w:tentative="1">
      <w:start w:val="1"/>
      <w:numFmt w:val="bullet"/>
      <w:lvlText w:val=""/>
      <w:lvlPicBulletId w:val="1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1BC0C46" w:tentative="1">
      <w:start w:val="1"/>
      <w:numFmt w:val="bullet"/>
      <w:lvlText w:val=""/>
      <w:lvlPicBulletId w:val="1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C3C72D0" w:tentative="1">
      <w:start w:val="1"/>
      <w:numFmt w:val="bullet"/>
      <w:lvlText w:val=""/>
      <w:lvlPicBulletId w:val="1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2D28430" w:tentative="1">
      <w:start w:val="1"/>
      <w:numFmt w:val="bullet"/>
      <w:lvlText w:val=""/>
      <w:lvlPicBulletId w:val="1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868E1D0" w:tentative="1">
      <w:start w:val="1"/>
      <w:numFmt w:val="bullet"/>
      <w:lvlText w:val=""/>
      <w:lvlPicBulletId w:val="1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4"/>
  </w:num>
  <w:num w:numId="2">
    <w:abstractNumId w:val="13"/>
  </w:num>
  <w:num w:numId="3">
    <w:abstractNumId w:val="16"/>
  </w:num>
  <w:num w:numId="4">
    <w:abstractNumId w:val="17"/>
  </w:num>
  <w:num w:numId="5">
    <w:abstractNumId w:val="7"/>
  </w:num>
  <w:num w:numId="6">
    <w:abstractNumId w:val="9"/>
  </w:num>
  <w:num w:numId="7">
    <w:abstractNumId w:val="0"/>
  </w:num>
  <w:num w:numId="8">
    <w:abstractNumId w:val="1"/>
  </w:num>
  <w:num w:numId="9">
    <w:abstractNumId w:val="19"/>
  </w:num>
  <w:num w:numId="10">
    <w:abstractNumId w:val="20"/>
  </w:num>
  <w:num w:numId="11">
    <w:abstractNumId w:val="21"/>
  </w:num>
  <w:num w:numId="12">
    <w:abstractNumId w:val="4"/>
  </w:num>
  <w:num w:numId="13">
    <w:abstractNumId w:val="12"/>
  </w:num>
  <w:num w:numId="14">
    <w:abstractNumId w:val="6"/>
  </w:num>
  <w:num w:numId="15">
    <w:abstractNumId w:val="15"/>
  </w:num>
  <w:num w:numId="16">
    <w:abstractNumId w:val="10"/>
  </w:num>
  <w:num w:numId="17">
    <w:abstractNumId w:val="11"/>
  </w:num>
  <w:num w:numId="18">
    <w:abstractNumId w:val="18"/>
  </w:num>
  <w:num w:numId="19">
    <w:abstractNumId w:val="5"/>
  </w:num>
  <w:num w:numId="20">
    <w:abstractNumId w:val="2"/>
  </w:num>
  <w:num w:numId="21">
    <w:abstractNumId w:val="3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457B7"/>
    <w:rsid w:val="000211AE"/>
    <w:rsid w:val="00047C92"/>
    <w:rsid w:val="000614D4"/>
    <w:rsid w:val="000A299B"/>
    <w:rsid w:val="000D7244"/>
    <w:rsid w:val="000E7B06"/>
    <w:rsid w:val="001061E0"/>
    <w:rsid w:val="00114DC1"/>
    <w:rsid w:val="0012272C"/>
    <w:rsid w:val="001E11BE"/>
    <w:rsid w:val="001E14A2"/>
    <w:rsid w:val="001E1EB7"/>
    <w:rsid w:val="00212252"/>
    <w:rsid w:val="002125D3"/>
    <w:rsid w:val="0023723E"/>
    <w:rsid w:val="00253B33"/>
    <w:rsid w:val="00260E58"/>
    <w:rsid w:val="00275F4E"/>
    <w:rsid w:val="002B6E63"/>
    <w:rsid w:val="002D7902"/>
    <w:rsid w:val="002F7EC2"/>
    <w:rsid w:val="003118B3"/>
    <w:rsid w:val="00342FD5"/>
    <w:rsid w:val="003626B6"/>
    <w:rsid w:val="0039641A"/>
    <w:rsid w:val="003A332B"/>
    <w:rsid w:val="003C26FC"/>
    <w:rsid w:val="003C43F3"/>
    <w:rsid w:val="003F0B3C"/>
    <w:rsid w:val="00400EA4"/>
    <w:rsid w:val="004217AC"/>
    <w:rsid w:val="004440A5"/>
    <w:rsid w:val="00454A30"/>
    <w:rsid w:val="004761C0"/>
    <w:rsid w:val="00487D50"/>
    <w:rsid w:val="0049727A"/>
    <w:rsid w:val="004D7076"/>
    <w:rsid w:val="004F6C58"/>
    <w:rsid w:val="00513CBB"/>
    <w:rsid w:val="00527815"/>
    <w:rsid w:val="00550E89"/>
    <w:rsid w:val="00576790"/>
    <w:rsid w:val="005C35D1"/>
    <w:rsid w:val="005C551D"/>
    <w:rsid w:val="005F3B8B"/>
    <w:rsid w:val="00604154"/>
    <w:rsid w:val="00685D69"/>
    <w:rsid w:val="00690401"/>
    <w:rsid w:val="006970C8"/>
    <w:rsid w:val="00697C24"/>
    <w:rsid w:val="006B2EFA"/>
    <w:rsid w:val="007012B4"/>
    <w:rsid w:val="007457B7"/>
    <w:rsid w:val="007A2A4A"/>
    <w:rsid w:val="007A3AB7"/>
    <w:rsid w:val="007C18B8"/>
    <w:rsid w:val="007C4A3E"/>
    <w:rsid w:val="007F3BAC"/>
    <w:rsid w:val="00801E91"/>
    <w:rsid w:val="00833ED2"/>
    <w:rsid w:val="008709A0"/>
    <w:rsid w:val="008929AE"/>
    <w:rsid w:val="008C1FEF"/>
    <w:rsid w:val="009179CC"/>
    <w:rsid w:val="009451EA"/>
    <w:rsid w:val="0099745A"/>
    <w:rsid w:val="009A0051"/>
    <w:rsid w:val="009F0AFF"/>
    <w:rsid w:val="009F4A44"/>
    <w:rsid w:val="009F7401"/>
    <w:rsid w:val="00A145C5"/>
    <w:rsid w:val="00A33D94"/>
    <w:rsid w:val="00AC5F92"/>
    <w:rsid w:val="00B10106"/>
    <w:rsid w:val="00B41428"/>
    <w:rsid w:val="00B4321B"/>
    <w:rsid w:val="00B54744"/>
    <w:rsid w:val="00B7327A"/>
    <w:rsid w:val="00B7480B"/>
    <w:rsid w:val="00B9470D"/>
    <w:rsid w:val="00BC540A"/>
    <w:rsid w:val="00BC768F"/>
    <w:rsid w:val="00BE43EA"/>
    <w:rsid w:val="00BF3815"/>
    <w:rsid w:val="00BF51F4"/>
    <w:rsid w:val="00C50676"/>
    <w:rsid w:val="00C62E0A"/>
    <w:rsid w:val="00C97FA1"/>
    <w:rsid w:val="00CA37B6"/>
    <w:rsid w:val="00CC1143"/>
    <w:rsid w:val="00CE6324"/>
    <w:rsid w:val="00CF096F"/>
    <w:rsid w:val="00CF3D6D"/>
    <w:rsid w:val="00D470BB"/>
    <w:rsid w:val="00D5136C"/>
    <w:rsid w:val="00D562B0"/>
    <w:rsid w:val="00DB32DA"/>
    <w:rsid w:val="00DC494D"/>
    <w:rsid w:val="00DE028C"/>
    <w:rsid w:val="00E22105"/>
    <w:rsid w:val="00E341D8"/>
    <w:rsid w:val="00E50480"/>
    <w:rsid w:val="00E535CF"/>
    <w:rsid w:val="00E972E7"/>
    <w:rsid w:val="00EB351F"/>
    <w:rsid w:val="00EE4044"/>
    <w:rsid w:val="00F042A9"/>
    <w:rsid w:val="00F17153"/>
    <w:rsid w:val="00F261D1"/>
    <w:rsid w:val="00F60419"/>
    <w:rsid w:val="00F73774"/>
    <w:rsid w:val="00F74D09"/>
    <w:rsid w:val="00F93733"/>
    <w:rsid w:val="00FA06ED"/>
    <w:rsid w:val="00FB0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5EB2FE8-0768-4A08-83C5-A54783035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EA4"/>
    <w:pPr>
      <w:spacing w:after="0"/>
    </w:pPr>
    <w:rPr>
      <w:bCs/>
      <w:sz w:val="24"/>
      <w:szCs w:val="24"/>
      <w:lang w:eastAsia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DB32D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BE43EA"/>
    <w:pPr>
      <w:keepNext/>
      <w:keepLines/>
      <w:spacing w:before="200"/>
      <w:ind w:left="708"/>
      <w:outlineLvl w:val="1"/>
    </w:pPr>
    <w:rPr>
      <w:rFonts w:asciiTheme="majorHAnsi" w:eastAsiaTheme="majorEastAsia" w:hAnsiTheme="majorHAnsi" w:cstheme="majorBidi"/>
      <w:b/>
      <w:color w:val="4F81BD" w:themeColor="accent1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5C551D"/>
    <w:pPr>
      <w:tabs>
        <w:tab w:val="center" w:pos="4536"/>
        <w:tab w:val="right" w:pos="9072"/>
      </w:tabs>
      <w:spacing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5C551D"/>
  </w:style>
  <w:style w:type="paragraph" w:styleId="Pieddepage">
    <w:name w:val="footer"/>
    <w:basedOn w:val="Normal"/>
    <w:link w:val="PieddepageCar"/>
    <w:uiPriority w:val="99"/>
    <w:unhideWhenUsed/>
    <w:rsid w:val="005C551D"/>
    <w:pPr>
      <w:tabs>
        <w:tab w:val="center" w:pos="4536"/>
        <w:tab w:val="right" w:pos="9072"/>
      </w:tabs>
      <w:spacing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C551D"/>
  </w:style>
  <w:style w:type="paragraph" w:styleId="Textedebulles">
    <w:name w:val="Balloon Text"/>
    <w:basedOn w:val="Normal"/>
    <w:link w:val="TextedebullesCar"/>
    <w:uiPriority w:val="99"/>
    <w:semiHidden/>
    <w:unhideWhenUsed/>
    <w:rsid w:val="005C551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C551D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5C55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2Car">
    <w:name w:val="Titre 2 Car"/>
    <w:basedOn w:val="Policepardfaut"/>
    <w:link w:val="Titre2"/>
    <w:uiPriority w:val="9"/>
    <w:rsid w:val="00BE43E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fr-FR"/>
    </w:rPr>
  </w:style>
  <w:style w:type="character" w:customStyle="1" w:styleId="Titre1Car">
    <w:name w:val="Titre 1 Car"/>
    <w:basedOn w:val="Policepardfaut"/>
    <w:link w:val="Titre1"/>
    <w:uiPriority w:val="9"/>
    <w:rsid w:val="00DB32D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DB32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styleId="Paragraphedeliste">
    <w:name w:val="List Paragraph"/>
    <w:basedOn w:val="Normal"/>
    <w:uiPriority w:val="34"/>
    <w:qFormat/>
    <w:rsid w:val="00212252"/>
    <w:pPr>
      <w:ind w:left="720"/>
      <w:contextualSpacing/>
    </w:pPr>
  </w:style>
  <w:style w:type="table" w:styleId="Listemoyenne1-Accent3">
    <w:name w:val="Medium List 1 Accent 3"/>
    <w:basedOn w:val="TableauNormal"/>
    <w:uiPriority w:val="65"/>
    <w:rsid w:val="00E22105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character" w:styleId="lev">
    <w:name w:val="Strong"/>
    <w:basedOn w:val="Policepardfaut"/>
    <w:uiPriority w:val="22"/>
    <w:qFormat/>
    <w:rsid w:val="002B6E63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3C43F3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character" w:styleId="Lienhypertexte">
    <w:name w:val="Hyperlink"/>
    <w:basedOn w:val="Policepardfaut"/>
    <w:uiPriority w:val="99"/>
    <w:unhideWhenUsed/>
    <w:rsid w:val="007A2A4A"/>
    <w:rPr>
      <w:color w:val="0000FF" w:themeColor="hyperlink"/>
      <w:u w:val="single"/>
    </w:rPr>
  </w:style>
  <w:style w:type="paragraph" w:customStyle="1" w:styleId="Default">
    <w:name w:val="Default"/>
    <w:rsid w:val="00BF51F4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98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2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433434">
          <w:marLeft w:val="36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84329">
          <w:marLeft w:val="36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2018">
          <w:marLeft w:val="734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39836">
          <w:marLeft w:val="734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406">
          <w:marLeft w:val="734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5824">
          <w:marLeft w:val="734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08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043962">
          <w:marLeft w:val="36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06682">
          <w:marLeft w:val="36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4485">
          <w:marLeft w:val="36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942410">
          <w:marLeft w:val="36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555431">
          <w:marLeft w:val="36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16571">
          <w:marLeft w:val="36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6101">
          <w:marLeft w:val="36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5745">
          <w:marLeft w:val="36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part-2-enocean-technology-for-intelligent-and-green-buildings-enocean-technology.mp4" TargetMode="External"/><Relationship Id="rId13" Type="http://schemas.openxmlformats.org/officeDocument/2006/relationships/image" Target="media/image8.emf"/><Relationship Id="rId18" Type="http://schemas.openxmlformats.org/officeDocument/2006/relationships/image" Target="media/image12.png"/><Relationship Id="rId26" Type="http://schemas.openxmlformats.org/officeDocument/2006/relationships/image" Target="media/image20.jpeg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image" Target="media/image26.png"/><Relationship Id="rId7" Type="http://schemas.openxmlformats.org/officeDocument/2006/relationships/image" Target="media/image4.jpeg"/><Relationship Id="rId12" Type="http://schemas.openxmlformats.org/officeDocument/2006/relationships/image" Target="media/image7.jpeg"/><Relationship Id="rId17" Type="http://schemas.openxmlformats.org/officeDocument/2006/relationships/oleObject" Target="embeddings/oleObject1.bin"/><Relationship Id="rId25" Type="http://schemas.openxmlformats.org/officeDocument/2006/relationships/image" Target="media/image19.jpeg"/><Relationship Id="rId33" Type="http://schemas.openxmlformats.org/officeDocument/2006/relationships/oleObject" Target="embeddings/oleObject3.bin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emf"/><Relationship Id="rId20" Type="http://schemas.openxmlformats.org/officeDocument/2006/relationships/image" Target="media/image14.jpe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jpeg"/><Relationship Id="rId24" Type="http://schemas.openxmlformats.org/officeDocument/2006/relationships/image" Target="media/image18.png"/><Relationship Id="rId32" Type="http://schemas.openxmlformats.org/officeDocument/2006/relationships/image" Target="media/image25.emf"/><Relationship Id="rId37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oleObject" Target="embeddings/oleObject4.bin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31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hyperlink" Target="https://www.planete-domotique.com/blog/wp-content/uploads/2013/05/SloganEnOcean.png" TargetMode="External"/><Relationship Id="rId14" Type="http://schemas.openxmlformats.org/officeDocument/2006/relationships/header" Target="header1.xml"/><Relationship Id="rId22" Type="http://schemas.openxmlformats.org/officeDocument/2006/relationships/image" Target="media/image16.jpeg"/><Relationship Id="rId27" Type="http://schemas.openxmlformats.org/officeDocument/2006/relationships/image" Target="media/image21.png"/><Relationship Id="rId30" Type="http://schemas.openxmlformats.org/officeDocument/2006/relationships/image" Target="media/image24.emf"/><Relationship Id="rId35" Type="http://schemas.openxmlformats.org/officeDocument/2006/relationships/image" Target="media/image27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9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wmf"/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ofs\hubiC\Smart_home.dot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Smart_home</Template>
  <TotalTime>872</TotalTime>
  <Pages>4</Pages>
  <Words>719</Words>
  <Characters>3959</Characters>
  <Application>Microsoft Office Word</Application>
  <DocSecurity>0</DocSecurity>
  <Lines>32</Lines>
  <Paragraphs>9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11</vt:i4>
      </vt:variant>
    </vt:vector>
  </HeadingPairs>
  <TitlesOfParts>
    <vt:vector size="12" baseType="lpstr">
      <vt:lpstr/>
      <vt:lpstr>Présentation </vt:lpstr>
      <vt:lpstr>Les convertisseurs d’énergie</vt:lpstr>
      <vt:lpstr>    Energie cinétique</vt:lpstr>
      <vt:lpstr>    Energie solaire et thermique</vt:lpstr>
      <vt:lpstr>Eléments de la technologie Enocean</vt:lpstr>
      <vt:lpstr>    Fréquence :</vt:lpstr>
      <vt:lpstr>    Interopérabilité</vt:lpstr>
      <vt:lpstr>Base de la radio transmission</vt:lpstr>
      <vt:lpstr>    Connaissance des fondamentaux de la radio </vt:lpstr>
      <vt:lpstr>    Atténuation</vt:lpstr>
      <vt:lpstr>Planification d’un projet Enocean</vt:lpstr>
    </vt:vector>
  </TitlesOfParts>
  <Company/>
  <LinksUpToDate>false</LinksUpToDate>
  <CharactersWithSpaces>4669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profs</dc:creator>
  <cp:lastModifiedBy>david bourboujas</cp:lastModifiedBy>
  <cp:revision>40</cp:revision>
  <dcterms:created xsi:type="dcterms:W3CDTF">2018-09-07T09:09:00Z</dcterms:created>
  <dcterms:modified xsi:type="dcterms:W3CDTF">2019-05-15T08:36:00Z</dcterms:modified>
</cp:coreProperties>
</file>