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1E7" w:rsidRPr="007E41E7" w:rsidRDefault="007E41E7" w:rsidP="007E41E7">
      <w:pPr>
        <w:spacing w:before="100" w:beforeAutospacing="1" w:after="100" w:afterAutospacing="1" w:line="240" w:lineRule="auto"/>
        <w:jc w:val="center"/>
        <w:outlineLvl w:val="0"/>
        <w:rPr>
          <w:rFonts w:ascii="Arial Narrow" w:eastAsia="Times New Roman" w:hAnsi="Arial Narrow" w:cs="Times New Roman"/>
          <w:b/>
          <w:bCs/>
          <w:kern w:val="36"/>
          <w:sz w:val="28"/>
          <w:szCs w:val="28"/>
          <w:lang w:eastAsia="fr-FR"/>
        </w:rPr>
      </w:pPr>
      <w:r w:rsidRPr="007E41E7">
        <w:rPr>
          <w:rFonts w:ascii="Arial Narrow" w:eastAsia="Times New Roman" w:hAnsi="Arial Narrow" w:cs="Times New Roman"/>
          <w:b/>
          <w:bCs/>
          <w:kern w:val="36"/>
          <w:sz w:val="28"/>
          <w:szCs w:val="28"/>
          <w:lang w:eastAsia="fr-FR"/>
        </w:rPr>
        <w:t>CHOISIR UN TRANSFORMATEUR DE COURANT</w:t>
      </w:r>
    </w:p>
    <w:p w:rsidR="007E41E7" w:rsidRDefault="0096280D" w:rsidP="007E41E7">
      <w:pPr>
        <w:spacing w:after="0" w:line="240" w:lineRule="auto"/>
        <w:rPr>
          <w:rFonts w:ascii="Arial Narrow" w:eastAsia="Times New Roman" w:hAnsi="Arial Narrow" w:cs="Times New Roman"/>
          <w:sz w:val="24"/>
          <w:szCs w:val="24"/>
          <w:lang w:eastAsia="fr-FR"/>
        </w:rPr>
      </w:pPr>
      <w:hyperlink r:id="rId4" w:history="1">
        <w:r w:rsidR="007E41E7" w:rsidRPr="005C389E">
          <w:rPr>
            <w:rFonts w:ascii="Arial Narrow" w:eastAsia="Times New Roman" w:hAnsi="Arial Narrow" w:cs="Times New Roman"/>
            <w:color w:val="000080"/>
            <w:sz w:val="24"/>
            <w:szCs w:val="24"/>
            <w:u w:val="single"/>
            <w:lang w:eastAsia="fr-FR"/>
          </w:rPr>
          <w:t>Intensité admissible dans un jeu de barres</w:t>
        </w:r>
      </w:hyperlink>
      <w:r w:rsidR="007E41E7" w:rsidRPr="005C389E">
        <w:rPr>
          <w:rFonts w:ascii="Arial Narrow" w:eastAsia="Times New Roman" w:hAnsi="Arial Narrow" w:cs="Times New Roman"/>
          <w:sz w:val="24"/>
          <w:szCs w:val="24"/>
          <w:lang w:eastAsia="fr-FR"/>
        </w:rPr>
        <w:t> | </w:t>
      </w:r>
      <w:hyperlink r:id="rId5" w:history="1">
        <w:r w:rsidR="007E41E7" w:rsidRPr="005C389E">
          <w:rPr>
            <w:rFonts w:ascii="Arial Narrow" w:eastAsia="Times New Roman" w:hAnsi="Arial Narrow" w:cs="Times New Roman"/>
            <w:color w:val="000080"/>
            <w:sz w:val="24"/>
            <w:szCs w:val="24"/>
            <w:u w:val="single"/>
            <w:lang w:eastAsia="fr-FR"/>
          </w:rPr>
          <w:t>Précision des transformateurs de courant</w:t>
        </w:r>
      </w:hyperlink>
      <w:r w:rsidR="007E41E7" w:rsidRPr="005C389E">
        <w:rPr>
          <w:rFonts w:ascii="Arial Narrow" w:eastAsia="Times New Roman" w:hAnsi="Arial Narrow" w:cs="Times New Roman"/>
          <w:sz w:val="24"/>
          <w:szCs w:val="24"/>
          <w:lang w:eastAsia="fr-FR"/>
        </w:rPr>
        <w:t> | </w:t>
      </w:r>
      <w:hyperlink r:id="rId6" w:history="1">
        <w:r w:rsidR="007E41E7" w:rsidRPr="005C389E">
          <w:rPr>
            <w:rFonts w:ascii="Arial Narrow" w:eastAsia="Times New Roman" w:hAnsi="Arial Narrow" w:cs="Times New Roman"/>
            <w:color w:val="000080"/>
            <w:sz w:val="24"/>
            <w:szCs w:val="24"/>
            <w:u w:val="single"/>
            <w:lang w:eastAsia="fr-FR"/>
          </w:rPr>
          <w:t>Précautions importantes pour les TC</w:t>
        </w:r>
      </w:hyperlink>
      <w:r w:rsidR="007E41E7" w:rsidRPr="005C389E">
        <w:rPr>
          <w:rFonts w:ascii="Arial Narrow" w:eastAsia="Times New Roman" w:hAnsi="Arial Narrow" w:cs="Times New Roman"/>
          <w:sz w:val="24"/>
          <w:szCs w:val="24"/>
          <w:lang w:eastAsia="fr-FR"/>
        </w:rPr>
        <w:br/>
      </w:r>
    </w:p>
    <w:p w:rsidR="005C389E" w:rsidRPr="005C389E" w:rsidRDefault="005C389E" w:rsidP="007E41E7">
      <w:pPr>
        <w:spacing w:after="0" w:line="240" w:lineRule="auto"/>
        <w:rPr>
          <w:rFonts w:ascii="Arial Narrow" w:eastAsia="Times New Roman" w:hAnsi="Arial Narrow" w:cs="Times New Roman"/>
          <w:sz w:val="24"/>
          <w:szCs w:val="24"/>
          <w:lang w:eastAsia="fr-FR"/>
        </w:rPr>
      </w:pPr>
    </w:p>
    <w:p w:rsidR="005C389E" w:rsidRPr="005C389E" w:rsidRDefault="007E41E7" w:rsidP="007E41E7">
      <w:pPr>
        <w:spacing w:after="0" w:line="240" w:lineRule="auto"/>
        <w:rPr>
          <w:rFonts w:ascii="Arial Narrow" w:eastAsia="Times New Roman" w:hAnsi="Arial Narrow" w:cs="Times New Roman"/>
          <w:sz w:val="24"/>
          <w:szCs w:val="24"/>
          <w:lang w:eastAsia="fr-FR"/>
        </w:rPr>
      </w:pPr>
      <w:r w:rsidRPr="005C389E">
        <w:rPr>
          <w:rFonts w:ascii="Arial Narrow" w:eastAsia="Times New Roman" w:hAnsi="Arial Narrow" w:cs="Times New Roman"/>
          <w:b/>
          <w:bCs/>
          <w:sz w:val="24"/>
          <w:szCs w:val="24"/>
          <w:lang w:eastAsia="fr-FR"/>
        </w:rPr>
        <w:t xml:space="preserve">Déterminer le rapport de transformation </w:t>
      </w:r>
      <w:proofErr w:type="spellStart"/>
      <w:r w:rsidRPr="005C389E">
        <w:rPr>
          <w:rFonts w:ascii="Arial Narrow" w:eastAsia="Times New Roman" w:hAnsi="Arial Narrow" w:cs="Times New Roman"/>
          <w:b/>
          <w:bCs/>
          <w:sz w:val="24"/>
          <w:szCs w:val="24"/>
          <w:lang w:eastAsia="fr-FR"/>
        </w:rPr>
        <w:t>Ip</w:t>
      </w:r>
      <w:proofErr w:type="spellEnd"/>
      <w:r w:rsidRPr="005C389E">
        <w:rPr>
          <w:rFonts w:ascii="Arial Narrow" w:eastAsia="Times New Roman" w:hAnsi="Arial Narrow" w:cs="Times New Roman"/>
          <w:b/>
          <w:bCs/>
          <w:sz w:val="24"/>
          <w:szCs w:val="24"/>
          <w:lang w:eastAsia="fr-FR"/>
        </w:rPr>
        <w:t>/Is</w:t>
      </w:r>
      <w:r w:rsidR="005C389E" w:rsidRPr="005C389E">
        <w:rPr>
          <w:rFonts w:ascii="Arial Narrow" w:eastAsia="Times New Roman" w:hAnsi="Arial Narrow" w:cs="Times New Roman"/>
          <w:b/>
          <w:bCs/>
          <w:sz w:val="24"/>
          <w:szCs w:val="24"/>
          <w:lang w:eastAsia="fr-FR"/>
        </w:rPr>
        <w:t xml:space="preserve"> :</w:t>
      </w:r>
    </w:p>
    <w:p w:rsidR="005C389E" w:rsidRPr="005C389E" w:rsidRDefault="005C389E" w:rsidP="007E41E7">
      <w:pPr>
        <w:spacing w:after="0" w:line="240" w:lineRule="auto"/>
        <w:rPr>
          <w:rFonts w:ascii="Arial Narrow" w:eastAsia="Times New Roman" w:hAnsi="Arial Narrow" w:cs="Times New Roman"/>
          <w:sz w:val="18"/>
          <w:szCs w:val="18"/>
          <w:lang w:eastAsia="fr-FR"/>
        </w:rPr>
      </w:pPr>
    </w:p>
    <w:p w:rsidR="005C389E"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 Choisir de préférence comme intensité primaire du transformateur l’intensité primaire standard immédiatement supérieure au courant à mesurer.</w:t>
      </w:r>
      <w:r w:rsidRPr="005C389E">
        <w:rPr>
          <w:rFonts w:ascii="Arial Narrow" w:eastAsia="Times New Roman" w:hAnsi="Arial Narrow" w:cs="Times New Roman"/>
          <w:sz w:val="24"/>
          <w:szCs w:val="24"/>
          <w:lang w:eastAsia="fr-FR"/>
        </w:rPr>
        <w:br/>
      </w:r>
      <w:proofErr w:type="gramStart"/>
      <w:r w:rsidRPr="005C389E">
        <w:rPr>
          <w:rFonts w:ascii="Arial Narrow" w:eastAsia="Times New Roman" w:hAnsi="Arial Narrow" w:cs="Times New Roman"/>
          <w:sz w:val="24"/>
          <w:szCs w:val="24"/>
          <w:lang w:eastAsia="fr-FR"/>
        </w:rPr>
        <w:t>ex</w:t>
      </w:r>
      <w:proofErr w:type="gramEnd"/>
      <w:r w:rsidRPr="005C389E">
        <w:rPr>
          <w:rFonts w:ascii="Arial Narrow" w:eastAsia="Times New Roman" w:hAnsi="Arial Narrow" w:cs="Times New Roman"/>
          <w:sz w:val="24"/>
          <w:szCs w:val="24"/>
          <w:lang w:eastAsia="fr-FR"/>
        </w:rPr>
        <w:t xml:space="preserve"> : courant à mesurer 1124 A. Prendre </w:t>
      </w:r>
      <w:proofErr w:type="spellStart"/>
      <w:r w:rsidRPr="005C389E">
        <w:rPr>
          <w:rFonts w:ascii="Arial Narrow" w:eastAsia="Times New Roman" w:hAnsi="Arial Narrow" w:cs="Times New Roman"/>
          <w:sz w:val="24"/>
          <w:szCs w:val="24"/>
          <w:lang w:eastAsia="fr-FR"/>
        </w:rPr>
        <w:t>Ip</w:t>
      </w:r>
      <w:proofErr w:type="spellEnd"/>
      <w:r w:rsidRPr="005C389E">
        <w:rPr>
          <w:rFonts w:ascii="Arial Narrow" w:eastAsia="Times New Roman" w:hAnsi="Arial Narrow" w:cs="Times New Roman"/>
          <w:sz w:val="24"/>
          <w:szCs w:val="24"/>
          <w:lang w:eastAsia="fr-FR"/>
        </w:rPr>
        <w:t xml:space="preserve"> = 1250 A</w:t>
      </w:r>
    </w:p>
    <w:p w:rsidR="005C389E"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 Choisir de préférence comme intensité secondaire 1 A ou 5 A en fonction de l’appareil de mesure ou du relais et de la distance entre le transformateur et l’appareil qu’il alimente :</w:t>
      </w:r>
    </w:p>
    <w:p w:rsidR="005C389E"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 Secondaire 5 A est utilisé quand les appareils de mesure se trouvent à proximité des transformateurs, moins de 10 m.</w:t>
      </w:r>
    </w:p>
    <w:p w:rsidR="005C389E" w:rsidRPr="005C389E"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 Secondaire 1 A de préférence quand la distance séparant le transformateur de courant et l’appareil de mesure est élevée (supérieure à 10 m). Les pertes Joule dues à la filerie sont 25 fois plus importantes en 5 A qu’en 1 A.</w:t>
      </w:r>
      <w:r w:rsidRPr="005C389E">
        <w:rPr>
          <w:rFonts w:ascii="Arial Narrow" w:eastAsia="Times New Roman" w:hAnsi="Arial Narrow" w:cs="Times New Roman"/>
          <w:sz w:val="24"/>
          <w:szCs w:val="24"/>
          <w:lang w:eastAsia="fr-FR"/>
        </w:rPr>
        <w:br/>
      </w:r>
    </w:p>
    <w:p w:rsidR="007E41E7" w:rsidRDefault="007E41E7" w:rsidP="007E41E7">
      <w:pPr>
        <w:spacing w:after="0" w:line="240" w:lineRule="auto"/>
        <w:rPr>
          <w:rFonts w:ascii="Arial Narrow" w:eastAsia="Times New Roman" w:hAnsi="Arial Narrow" w:cs="Times New Roman"/>
          <w:sz w:val="24"/>
          <w:szCs w:val="24"/>
          <w:lang w:eastAsia="fr-FR"/>
        </w:rPr>
      </w:pPr>
      <w:r w:rsidRPr="005C389E">
        <w:rPr>
          <w:rFonts w:ascii="Arial Narrow" w:eastAsia="Times New Roman" w:hAnsi="Arial Narrow" w:cs="Times New Roman"/>
          <w:b/>
          <w:bCs/>
          <w:sz w:val="24"/>
          <w:szCs w:val="24"/>
          <w:lang w:eastAsia="fr-FR"/>
        </w:rPr>
        <w:t>Déterminer la puissance du transformateur</w:t>
      </w:r>
      <w:r w:rsidR="005C389E">
        <w:rPr>
          <w:rFonts w:ascii="Arial Narrow" w:eastAsia="Times New Roman" w:hAnsi="Arial Narrow" w:cs="Times New Roman"/>
          <w:sz w:val="24"/>
          <w:szCs w:val="24"/>
          <w:lang w:eastAsia="fr-FR"/>
        </w:rPr>
        <w:t xml:space="preserve"> :</w:t>
      </w:r>
    </w:p>
    <w:p w:rsidR="005C389E" w:rsidRPr="005C389E" w:rsidRDefault="005C389E" w:rsidP="007E41E7">
      <w:pPr>
        <w:spacing w:after="0" w:line="240" w:lineRule="auto"/>
        <w:rPr>
          <w:rFonts w:ascii="Arial Narrow" w:eastAsia="Times New Roman" w:hAnsi="Arial Narrow" w:cs="Times New Roman"/>
          <w:sz w:val="24"/>
          <w:szCs w:val="24"/>
          <w:lang w:eastAsia="fr-FR"/>
        </w:rPr>
      </w:pPr>
    </w:p>
    <w:p w:rsidR="005C389E" w:rsidRDefault="007E41E7" w:rsidP="005C389E">
      <w:pPr>
        <w:spacing w:after="0" w:line="240" w:lineRule="auto"/>
        <w:ind w:left="142" w:hanging="142"/>
        <w:rPr>
          <w:sz w:val="24"/>
          <w:szCs w:val="24"/>
        </w:rPr>
      </w:pPr>
      <w:r w:rsidRPr="005C389E">
        <w:rPr>
          <w:rFonts w:ascii="Arial Narrow" w:eastAsia="Times New Roman" w:hAnsi="Arial Narrow" w:cs="Times New Roman"/>
          <w:sz w:val="24"/>
          <w:szCs w:val="24"/>
          <w:lang w:eastAsia="fr-FR"/>
        </w:rPr>
        <w:t xml:space="preserve">• Pour définir la puissance en VA du transformateur, ajouter aux puissances consommées par les </w:t>
      </w:r>
      <w:hyperlink r:id="rId7" w:tooltip="Conso filerie" w:history="1">
        <w:r w:rsidRPr="005C389E">
          <w:rPr>
            <w:rFonts w:ascii="Arial Narrow" w:eastAsia="Times New Roman" w:hAnsi="Arial Narrow" w:cs="Times New Roman"/>
            <w:color w:val="000080"/>
            <w:sz w:val="24"/>
            <w:szCs w:val="24"/>
            <w:u w:val="single"/>
            <w:lang w:eastAsia="fr-FR"/>
          </w:rPr>
          <w:t>appareils connectés au transformateur</w:t>
        </w:r>
      </w:hyperlink>
      <w:r w:rsidRPr="005C389E">
        <w:rPr>
          <w:rFonts w:ascii="Arial Narrow" w:eastAsia="Times New Roman" w:hAnsi="Arial Narrow" w:cs="Times New Roman"/>
          <w:sz w:val="24"/>
          <w:szCs w:val="24"/>
          <w:lang w:eastAsia="fr-FR"/>
        </w:rPr>
        <w:t xml:space="preserve">, la puissance </w:t>
      </w:r>
      <w:hyperlink r:id="rId8" w:history="1">
        <w:r w:rsidRPr="005C389E">
          <w:rPr>
            <w:rFonts w:ascii="Arial Narrow" w:eastAsia="Times New Roman" w:hAnsi="Arial Narrow" w:cs="Times New Roman"/>
            <w:color w:val="000080"/>
            <w:sz w:val="24"/>
            <w:szCs w:val="24"/>
            <w:u w:val="single"/>
            <w:lang w:eastAsia="fr-FR"/>
          </w:rPr>
          <w:t xml:space="preserve">absorbée par le câblage. </w:t>
        </w:r>
      </w:hyperlink>
    </w:p>
    <w:p w:rsidR="005C389E"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 xml:space="preserve">• </w:t>
      </w:r>
      <w:proofErr w:type="spellStart"/>
      <w:r w:rsidRPr="005C389E">
        <w:rPr>
          <w:rFonts w:ascii="Arial Narrow" w:eastAsia="Times New Roman" w:hAnsi="Arial Narrow" w:cs="Times New Roman"/>
          <w:sz w:val="24"/>
          <w:szCs w:val="24"/>
          <w:lang w:eastAsia="fr-FR"/>
        </w:rPr>
        <w:t>ll</w:t>
      </w:r>
      <w:proofErr w:type="spellEnd"/>
      <w:r w:rsidRPr="005C389E">
        <w:rPr>
          <w:rFonts w:ascii="Arial Narrow" w:eastAsia="Times New Roman" w:hAnsi="Arial Narrow" w:cs="Times New Roman"/>
          <w:sz w:val="24"/>
          <w:szCs w:val="24"/>
          <w:lang w:eastAsia="fr-FR"/>
        </w:rPr>
        <w:t xml:space="preserve"> est recommandé de choisir la puissance la plus proche possible mais supérieure à la puissance calculée, car les caractéristiques concernant la précision et le facteur de sécurité pourraient être modifiées. </w:t>
      </w:r>
    </w:p>
    <w:p w:rsidR="005C389E" w:rsidRPr="005C389E" w:rsidRDefault="005C389E" w:rsidP="005C389E">
      <w:pPr>
        <w:spacing w:after="0" w:line="240" w:lineRule="auto"/>
        <w:ind w:left="142" w:hanging="142"/>
        <w:rPr>
          <w:rFonts w:ascii="Arial Narrow" w:eastAsia="Times New Roman" w:hAnsi="Arial Narrow" w:cs="Times New Roman"/>
          <w:sz w:val="24"/>
          <w:szCs w:val="24"/>
          <w:lang w:eastAsia="fr-FR"/>
        </w:rPr>
      </w:pPr>
    </w:p>
    <w:p w:rsidR="007E41E7" w:rsidRDefault="007E41E7" w:rsidP="007E41E7">
      <w:pPr>
        <w:spacing w:after="0" w:line="240" w:lineRule="auto"/>
        <w:rPr>
          <w:rFonts w:ascii="Arial Narrow" w:eastAsia="Times New Roman" w:hAnsi="Arial Narrow" w:cs="Times New Roman"/>
          <w:sz w:val="24"/>
          <w:szCs w:val="24"/>
          <w:lang w:eastAsia="fr-FR"/>
        </w:rPr>
      </w:pPr>
      <w:r w:rsidRPr="005C389E">
        <w:rPr>
          <w:rFonts w:ascii="Arial Narrow" w:eastAsia="Times New Roman" w:hAnsi="Arial Narrow" w:cs="Times New Roman"/>
          <w:b/>
          <w:bCs/>
          <w:sz w:val="24"/>
          <w:szCs w:val="24"/>
          <w:lang w:eastAsia="fr-FR"/>
        </w:rPr>
        <w:t>Définir la classe de précision en fonction de l’application</w:t>
      </w:r>
      <w:r w:rsidR="005C389E">
        <w:rPr>
          <w:rFonts w:ascii="Arial Narrow" w:eastAsia="Times New Roman" w:hAnsi="Arial Narrow" w:cs="Times New Roman"/>
          <w:sz w:val="24"/>
          <w:szCs w:val="24"/>
          <w:lang w:eastAsia="fr-FR"/>
        </w:rPr>
        <w:t xml:space="preserve"> :</w:t>
      </w:r>
    </w:p>
    <w:p w:rsidR="005C389E" w:rsidRPr="005C389E" w:rsidRDefault="005C389E" w:rsidP="007E41E7">
      <w:pPr>
        <w:spacing w:after="0" w:line="240" w:lineRule="auto"/>
        <w:rPr>
          <w:rFonts w:ascii="Arial Narrow" w:eastAsia="Times New Roman" w:hAnsi="Arial Narrow" w:cs="Times New Roman"/>
          <w:sz w:val="18"/>
          <w:szCs w:val="18"/>
          <w:lang w:eastAsia="fr-FR"/>
        </w:rPr>
      </w:pPr>
    </w:p>
    <w:p w:rsidR="005C389E" w:rsidRPr="005C389E" w:rsidRDefault="007E41E7" w:rsidP="007E41E7">
      <w:pPr>
        <w:spacing w:after="0" w:line="240" w:lineRule="auto"/>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Etalons = Classe 0,1 ou 0,2</w:t>
      </w:r>
      <w:r w:rsidRPr="005C389E">
        <w:rPr>
          <w:rFonts w:ascii="Arial Narrow" w:eastAsia="Times New Roman" w:hAnsi="Arial Narrow" w:cs="Times New Roman"/>
          <w:sz w:val="24"/>
          <w:szCs w:val="24"/>
          <w:lang w:eastAsia="fr-FR"/>
        </w:rPr>
        <w:br/>
        <w:t>Comptage tarifaire = Classe 0,5 - 0,5S - 0,2 - 0,2S</w:t>
      </w:r>
    </w:p>
    <w:p w:rsidR="005C389E" w:rsidRPr="005C389E" w:rsidRDefault="007E41E7" w:rsidP="007E41E7">
      <w:pPr>
        <w:spacing w:after="0" w:line="240" w:lineRule="auto"/>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Comptage industriel divisionnaire = Classe 1</w:t>
      </w:r>
    </w:p>
    <w:p w:rsidR="005C389E" w:rsidRPr="005C389E" w:rsidRDefault="007E41E7" w:rsidP="007E41E7">
      <w:pPr>
        <w:spacing w:after="0" w:line="240" w:lineRule="auto"/>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Affichage d’une mesure = Classe 1 ou 3</w:t>
      </w:r>
    </w:p>
    <w:p w:rsidR="005C389E" w:rsidRPr="005C389E" w:rsidRDefault="007E41E7" w:rsidP="007E41E7">
      <w:pPr>
        <w:spacing w:after="0" w:line="240" w:lineRule="auto"/>
        <w:rPr>
          <w:rFonts w:ascii="Arial Narrow" w:eastAsia="Times New Roman" w:hAnsi="Arial Narrow" w:cs="Times New Roman"/>
          <w:sz w:val="18"/>
          <w:szCs w:val="18"/>
          <w:lang w:eastAsia="fr-FR"/>
        </w:rPr>
      </w:pPr>
      <w:r w:rsidRPr="005C389E">
        <w:rPr>
          <w:rFonts w:ascii="Arial Narrow" w:eastAsia="Times New Roman" w:hAnsi="Arial Narrow" w:cs="Times New Roman"/>
          <w:sz w:val="24"/>
          <w:szCs w:val="24"/>
          <w:lang w:eastAsia="fr-FR"/>
        </w:rPr>
        <w:t>Protection = Classe 5P ou 10P</w:t>
      </w:r>
      <w:r w:rsidRPr="005C389E">
        <w:rPr>
          <w:rFonts w:ascii="Arial Narrow" w:eastAsia="Times New Roman" w:hAnsi="Arial Narrow" w:cs="Times New Roman"/>
          <w:sz w:val="24"/>
          <w:szCs w:val="24"/>
          <w:lang w:eastAsia="fr-FR"/>
        </w:rPr>
        <w:br/>
      </w:r>
    </w:p>
    <w:p w:rsidR="005C389E"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 Se souvenir que les erreurs des appareils de mesure s’ajoutent aux erreurs des transformateurs qui les alimentent.</w:t>
      </w:r>
    </w:p>
    <w:p w:rsidR="005C389E" w:rsidRPr="005C389E"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 Il en est de même lorsque plusieurs transformateurs sont montés en cascade.</w:t>
      </w:r>
    </w:p>
    <w:p w:rsidR="005C389E"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 Dans le cas d’une classe de protection 5P ou 10P, indiquer le facteur limite de précision, généralement 5, 10, 15, 20 ou 30.</w:t>
      </w:r>
    </w:p>
    <w:p w:rsidR="005C389E" w:rsidRDefault="005C389E" w:rsidP="005C389E">
      <w:pPr>
        <w:spacing w:after="0" w:line="240" w:lineRule="auto"/>
        <w:ind w:left="142" w:hanging="142"/>
        <w:rPr>
          <w:rFonts w:ascii="Arial Narrow" w:eastAsia="Times New Roman" w:hAnsi="Arial Narrow" w:cs="Times New Roman"/>
          <w:lang w:eastAsia="fr-FR"/>
        </w:rPr>
      </w:pPr>
    </w:p>
    <w:p w:rsidR="007E41E7"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b/>
          <w:bCs/>
          <w:sz w:val="24"/>
          <w:szCs w:val="24"/>
          <w:lang w:eastAsia="fr-FR"/>
        </w:rPr>
        <w:t>Définir le type d’appareil en fonction du mode d’installation</w:t>
      </w:r>
      <w:r w:rsidR="005C389E">
        <w:rPr>
          <w:rFonts w:ascii="Arial Narrow" w:eastAsia="Times New Roman" w:hAnsi="Arial Narrow" w:cs="Times New Roman"/>
          <w:sz w:val="24"/>
          <w:szCs w:val="24"/>
          <w:lang w:eastAsia="fr-FR"/>
        </w:rPr>
        <w:t xml:space="preserve"> :</w:t>
      </w:r>
    </w:p>
    <w:p w:rsidR="005C389E" w:rsidRPr="007E41E7" w:rsidRDefault="005C389E" w:rsidP="007E41E7">
      <w:pPr>
        <w:spacing w:after="0" w:line="240" w:lineRule="auto"/>
        <w:rPr>
          <w:rFonts w:ascii="Arial Narrow" w:eastAsia="Times New Roman" w:hAnsi="Arial Narrow" w:cs="Times New Roman"/>
          <w:sz w:val="18"/>
          <w:szCs w:val="18"/>
          <w:lang w:eastAsia="fr-FR"/>
        </w:rPr>
      </w:pPr>
    </w:p>
    <w:p w:rsidR="005C389E"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 xml:space="preserve">• Lorsque l’intensité primaire est très faible, quelques ampères voire quelques dizaines d’ampères, l’utilisation d’un transformateur à primaire bobiné s’impose généralement. </w:t>
      </w:r>
    </w:p>
    <w:p w:rsidR="005C389E"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 Les transformateurs à passage de câbles ou barres sont utilisés lorsque le courant à mesurer est élevé supérieur à 150 A. Leurs performances sont faibles lorsque l’intensité primaire est peu élevée (entre 40 et 150 A).</w:t>
      </w:r>
    </w:p>
    <w:p w:rsidR="007E41E7" w:rsidRPr="005C389E" w:rsidRDefault="007E41E7" w:rsidP="005C389E">
      <w:pPr>
        <w:spacing w:after="0" w:line="240" w:lineRule="auto"/>
        <w:ind w:left="142" w:hanging="142"/>
        <w:rPr>
          <w:rFonts w:ascii="Arial Narrow" w:eastAsia="Times New Roman" w:hAnsi="Arial Narrow" w:cs="Times New Roman"/>
          <w:sz w:val="24"/>
          <w:szCs w:val="24"/>
          <w:lang w:eastAsia="fr-FR"/>
        </w:rPr>
      </w:pPr>
      <w:r w:rsidRPr="005C389E">
        <w:rPr>
          <w:rFonts w:ascii="Arial Narrow" w:eastAsia="Times New Roman" w:hAnsi="Arial Narrow" w:cs="Times New Roman"/>
          <w:sz w:val="24"/>
          <w:szCs w:val="24"/>
          <w:lang w:eastAsia="fr-FR"/>
        </w:rPr>
        <w:t>• Il n’est pratiquement et économiquement pas possible de les utiliser en dessous de 40 A. Le choix du modèle dépend du type de conducteur primaire, câbles ou jeu de barres, et de sa section.</w:t>
      </w:r>
    </w:p>
    <w:p w:rsidR="007A50D8" w:rsidRDefault="005C389E"/>
    <w:sectPr w:rsidR="007A50D8" w:rsidSect="007E41E7">
      <w:pgSz w:w="11906" w:h="16838"/>
      <w:pgMar w:top="851" w:right="849" w:bottom="1417"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E41E7"/>
    <w:rsid w:val="0013590C"/>
    <w:rsid w:val="004D3D2A"/>
    <w:rsid w:val="00555425"/>
    <w:rsid w:val="005C389E"/>
    <w:rsid w:val="006714BE"/>
    <w:rsid w:val="0075511C"/>
    <w:rsid w:val="007E41E7"/>
    <w:rsid w:val="0096280D"/>
    <w:rsid w:val="00A315EC"/>
    <w:rsid w:val="00AA28E2"/>
    <w:rsid w:val="00C65CC1"/>
    <w:rsid w:val="00DE0E14"/>
    <w:rsid w:val="00DF56F6"/>
    <w:rsid w:val="00FB695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D2A"/>
  </w:style>
  <w:style w:type="paragraph" w:styleId="Titre1">
    <w:name w:val="heading 1"/>
    <w:basedOn w:val="Normal"/>
    <w:link w:val="Titre1Car"/>
    <w:uiPriority w:val="9"/>
    <w:qFormat/>
    <w:rsid w:val="007E41E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E41E7"/>
    <w:rPr>
      <w:rFonts w:ascii="Times New Roman" w:eastAsia="Times New Roman" w:hAnsi="Times New Roman" w:cs="Times New Roman"/>
      <w:b/>
      <w:bCs/>
      <w:kern w:val="36"/>
      <w:sz w:val="48"/>
      <w:szCs w:val="48"/>
      <w:lang w:eastAsia="fr-FR"/>
    </w:rPr>
  </w:style>
  <w:style w:type="character" w:styleId="Lienhypertexte">
    <w:name w:val="Hyperlink"/>
    <w:basedOn w:val="Policepardfaut"/>
    <w:uiPriority w:val="99"/>
    <w:semiHidden/>
    <w:unhideWhenUsed/>
    <w:rsid w:val="007E41E7"/>
    <w:rPr>
      <w:color w:val="000080"/>
      <w:u w:val="single"/>
    </w:rPr>
  </w:style>
  <w:style w:type="paragraph" w:styleId="NormalWeb">
    <w:name w:val="Normal (Web)"/>
    <w:basedOn w:val="Normal"/>
    <w:uiPriority w:val="99"/>
    <w:unhideWhenUsed/>
    <w:rsid w:val="007E41E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fontsizebigger1">
    <w:name w:val="fontsizebigger1"/>
    <w:basedOn w:val="Policepardfaut"/>
    <w:rsid w:val="007E41E7"/>
    <w:rPr>
      <w:sz w:val="43"/>
      <w:szCs w:val="43"/>
    </w:rPr>
  </w:style>
  <w:style w:type="character" w:customStyle="1" w:styleId="fontfamilystandardtext1">
    <w:name w:val="fontfamilystandardtext1"/>
    <w:basedOn w:val="Policepardfaut"/>
    <w:rsid w:val="007E41E7"/>
    <w:rPr>
      <w:rFonts w:ascii="Verdana" w:hAnsi="Verdana" w:hint="default"/>
    </w:rPr>
  </w:style>
</w:styles>
</file>

<file path=word/webSettings.xml><?xml version="1.0" encoding="utf-8"?>
<w:webSettings xmlns:r="http://schemas.openxmlformats.org/officeDocument/2006/relationships" xmlns:w="http://schemas.openxmlformats.org/wordprocessingml/2006/main">
  <w:divs>
    <w:div w:id="2147241505">
      <w:bodyDiv w:val="1"/>
      <w:marLeft w:val="0"/>
      <w:marRight w:val="0"/>
      <w:marTop w:val="0"/>
      <w:marBottom w:val="0"/>
      <w:divBdr>
        <w:top w:val="none" w:sz="0" w:space="0" w:color="auto"/>
        <w:left w:val="none" w:sz="0" w:space="0" w:color="auto"/>
        <w:bottom w:val="none" w:sz="0" w:space="0" w:color="auto"/>
        <w:right w:val="none" w:sz="0" w:space="0" w:color="auto"/>
      </w:divBdr>
      <w:divsChild>
        <w:div w:id="4379187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sisolsec.com/Choisir%20un%20tc.html" TargetMode="External"/><Relationship Id="rId3" Type="http://schemas.openxmlformats.org/officeDocument/2006/relationships/webSettings" Target="webSettings.xml"/><Relationship Id="rId7" Type="http://schemas.openxmlformats.org/officeDocument/2006/relationships/hyperlink" Target="http://www.rsisolsec.com/Choisir%20un%20tc.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rsisolsec.com/Precautions%20importantes%20pour%20les%20TC.html" TargetMode="External"/><Relationship Id="rId5" Type="http://schemas.openxmlformats.org/officeDocument/2006/relationships/hyperlink" Target="http://www.rsisolsec.com/Precision%20des%20transformateurs%20de%20courant.html" TargetMode="External"/><Relationship Id="rId10" Type="http://schemas.openxmlformats.org/officeDocument/2006/relationships/theme" Target="theme/theme1.xml"/><Relationship Id="rId4" Type="http://schemas.openxmlformats.org/officeDocument/2006/relationships/hyperlink" Target="http://www.rsisolsec.com/Intensite%20admisssible%20dans%20un%20jeu%20de%20barres.html" TargetMode="Externa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465</Words>
  <Characters>2563</Characters>
  <Application>Microsoft Office Word</Application>
  <DocSecurity>0</DocSecurity>
  <Lines>21</Lines>
  <Paragraphs>6</Paragraphs>
  <ScaleCrop>false</ScaleCrop>
  <Company/>
  <LinksUpToDate>false</LinksUpToDate>
  <CharactersWithSpaces>3022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ATI_COM_7</dc:creator>
  <cp:lastModifiedBy>Henri</cp:lastModifiedBy>
  <cp:revision>2</cp:revision>
  <dcterms:created xsi:type="dcterms:W3CDTF">2014-06-24T08:31:00Z</dcterms:created>
  <dcterms:modified xsi:type="dcterms:W3CDTF">2014-06-24T12:41:00Z</dcterms:modified>
</cp:coreProperties>
</file>